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16"/>
        <w:rPr>
          <w:rFonts w:ascii="Times New Roman"/>
          <w:sz w:val="20"/>
        </w:rPr>
      </w:pPr>
      <w:r>
        <w:rPr>
          <w:rFonts w:ascii="Times New Roman"/>
          <w:sz w:val="20"/>
        </w:rPr>
        <w:pict>
          <v:group style="width:470.9pt;height:53pt;mso-position-horizontal-relative:char;mso-position-vertical-relative:line" coordorigin="0,0" coordsize="9418,1060">
            <v:rect style="position:absolute;left:0;top:1030;width:9418;height:29" filled="true" fillcolor="#000000" stroked="false">
              <v:fill type="solid"/>
            </v:rect>
            <v:shape style="position:absolute;left:53;top:0;width:967;height:967" type="#_x0000_t75" stroked="false">
              <v:imagedata r:id="rId5" o:title=""/>
            </v:shape>
            <v:shapetype id="_x0000_t202" o:spt="202" coordsize="21600,21600" path="m,l,21600r21600,l21600,xe">
              <v:stroke joinstyle="miter"/>
              <v:path gradientshapeok="t" o:connecttype="rect"/>
            </v:shapetype>
            <v:shape style="position:absolute;left:0;top:0;width:9418;height:1060" type="#_x0000_t202" filled="false" stroked="false">
              <v:textbox inset="0,0,0,0">
                <w:txbxContent>
                  <w:p>
                    <w:pPr>
                      <w:spacing w:line="240" w:lineRule="auto" w:before="7"/>
                      <w:rPr>
                        <w:rFonts w:ascii="Times New Roman"/>
                        <w:sz w:val="31"/>
                      </w:rPr>
                    </w:pPr>
                  </w:p>
                  <w:p>
                    <w:pPr>
                      <w:spacing w:before="0"/>
                      <w:ind w:left="1377" w:right="1378" w:firstLine="0"/>
                      <w:jc w:val="center"/>
                      <w:rPr>
                        <w:b/>
                        <w:sz w:val="19"/>
                      </w:rPr>
                    </w:pPr>
                    <w:bookmarkStart w:name="Part I-General Application [Kingsman Aca" w:id="1"/>
                    <w:bookmarkEnd w:id="1"/>
                    <w:r>
                      <w:rPr/>
                    </w:r>
                    <w:r>
                      <w:rPr>
                        <w:b/>
                        <w:w w:val="105"/>
                        <w:sz w:val="19"/>
                      </w:rPr>
                      <w:t>DISTRICT OF COLUMBIA PUBLIC CHARTER SCHOOL BOARD</w:t>
                    </w:r>
                  </w:p>
                  <w:p>
                    <w:pPr>
                      <w:spacing w:before="127"/>
                      <w:ind w:left="1060" w:right="0" w:firstLine="0"/>
                      <w:jc w:val="left"/>
                      <w:rPr>
                        <w:b/>
                        <w:sz w:val="24"/>
                      </w:rPr>
                    </w:pPr>
                    <w:r>
                      <w:rPr>
                        <w:b/>
                        <w:sz w:val="24"/>
                      </w:rPr>
                      <w:t>Charter and/or Charter Agreement Amendment Application</w:t>
                    </w:r>
                  </w:p>
                </w:txbxContent>
              </v:textbox>
              <w10:wrap type="none"/>
            </v:shape>
          </v:group>
        </w:pict>
      </w:r>
      <w:r>
        <w:rPr>
          <w:rFonts w:ascii="Times New Roman"/>
          <w:sz w:val="20"/>
        </w:rPr>
      </w:r>
    </w:p>
    <w:p>
      <w:pPr>
        <w:pStyle w:val="Title"/>
      </w:pPr>
      <w:r>
        <w:rPr/>
        <w:t>Part I: General Information</w:t>
      </w:r>
    </w:p>
    <w:p>
      <w:pPr>
        <w:pStyle w:val="Title"/>
        <w:spacing w:before="121"/>
        <w:ind w:left="2567"/>
      </w:pPr>
      <w:r>
        <w:rPr/>
        <w:t>*All applicants must complete this section*</w:t>
      </w:r>
    </w:p>
    <w:p>
      <w:pPr>
        <w:pStyle w:val="BodyText"/>
        <w:spacing w:before="10"/>
        <w:rPr>
          <w:b/>
          <w:sz w:val="25"/>
        </w:rPr>
      </w:pPr>
    </w:p>
    <w:p>
      <w:pPr>
        <w:pStyle w:val="Heading2"/>
        <w:tabs>
          <w:tab w:pos="3004" w:val="left" w:leader="none"/>
        </w:tabs>
        <w:spacing w:before="106"/>
        <w:rPr>
          <w:rFonts w:ascii="Arial" w:hAnsi="Arial"/>
        </w:rPr>
      </w:pPr>
      <w:r>
        <w:rPr>
          <w:spacing w:val="2"/>
          <w:w w:val="105"/>
          <w:sz w:val="21"/>
        </w:rPr>
        <w:t>SUBMITTED</w:t>
      </w:r>
      <w:r>
        <w:rPr>
          <w:spacing w:val="-10"/>
          <w:w w:val="105"/>
          <w:sz w:val="21"/>
        </w:rPr>
        <w:t> </w:t>
      </w:r>
      <w:r>
        <w:rPr>
          <w:w w:val="105"/>
          <w:sz w:val="21"/>
        </w:rPr>
        <w:t>BY:</w:t>
        <w:tab/>
      </w:r>
      <w:r>
        <w:rPr>
          <w:rFonts w:ascii="Arial" w:hAnsi="Arial"/>
          <w:w w:val="105"/>
          <w:shd w:fill="FFFF00" w:color="auto" w:val="clear"/>
        </w:rPr>
        <w:t>Steve C. Messner, Board Chair – Kingsman Academy Public Charter</w:t>
      </w:r>
      <w:r>
        <w:rPr>
          <w:rFonts w:ascii="Arial" w:hAnsi="Arial"/>
          <w:spacing w:val="2"/>
          <w:w w:val="105"/>
          <w:shd w:fill="FFFF00" w:color="auto" w:val="clear"/>
        </w:rPr>
        <w:t> </w:t>
      </w:r>
      <w:r>
        <w:rPr>
          <w:rFonts w:ascii="Arial" w:hAnsi="Arial"/>
          <w:w w:val="105"/>
          <w:shd w:fill="FFFF00" w:color="auto" w:val="clear"/>
        </w:rPr>
        <w:t>School</w:t>
      </w:r>
    </w:p>
    <w:p>
      <w:pPr>
        <w:tabs>
          <w:tab w:pos="3004" w:val="left" w:leader="none"/>
        </w:tabs>
        <w:spacing w:before="71"/>
        <w:ind w:left="844" w:right="0" w:firstLine="0"/>
        <w:jc w:val="left"/>
        <w:rPr>
          <w:sz w:val="21"/>
        </w:rPr>
      </w:pPr>
      <w:r>
        <w:rPr>
          <w:b/>
          <w:w w:val="105"/>
          <w:sz w:val="21"/>
        </w:rPr>
        <w:t>SUBJECT:</w:t>
        <w:tab/>
        <w:t>Charter </w:t>
      </w:r>
      <w:r>
        <w:rPr>
          <w:b/>
          <w:spacing w:val="2"/>
          <w:w w:val="105"/>
          <w:sz w:val="21"/>
        </w:rPr>
        <w:t>Amendment </w:t>
      </w:r>
      <w:r>
        <w:rPr>
          <w:b/>
          <w:w w:val="105"/>
          <w:sz w:val="21"/>
        </w:rPr>
        <w:t>Request for: </w:t>
      </w:r>
      <w:r>
        <w:rPr>
          <w:w w:val="105"/>
          <w:sz w:val="21"/>
        </w:rPr>
        <w:t>(Mark all that</w:t>
      </w:r>
      <w:r>
        <w:rPr>
          <w:spacing w:val="-10"/>
          <w:w w:val="105"/>
          <w:sz w:val="21"/>
        </w:rPr>
        <w:t> </w:t>
      </w:r>
      <w:r>
        <w:rPr>
          <w:w w:val="105"/>
          <w:sz w:val="21"/>
        </w:rPr>
        <w:t>apply)</w:t>
      </w:r>
    </w:p>
    <w:p>
      <w:pPr>
        <w:pStyle w:val="BodyText"/>
        <w:spacing w:before="2"/>
        <w:rPr>
          <w:sz w:val="12"/>
        </w:rPr>
      </w:pPr>
    </w:p>
    <w:p>
      <w:pPr>
        <w:spacing w:after="0"/>
        <w:rPr>
          <w:sz w:val="12"/>
        </w:rPr>
        <w:sectPr>
          <w:type w:val="continuous"/>
          <w:pgSz w:w="12240" w:h="15840"/>
          <w:pgMar w:top="420" w:bottom="280" w:left="600" w:right="600"/>
        </w:sectPr>
      </w:pPr>
    </w:p>
    <w:p>
      <w:pPr>
        <w:pStyle w:val="BodyText"/>
        <w:spacing w:before="107"/>
        <w:ind w:left="1085"/>
      </w:pPr>
      <w:r>
        <w:rPr/>
        <w:pict>
          <v:rect style="position:absolute;margin-left:73.325699pt;margin-top:9.020977pt;width:6.0pt;height:6.0pt;mso-position-horizontal-relative:page;mso-position-vertical-relative:paragraph;z-index:15729664" filled="false" stroked="true" strokeweight=".72pt" strokecolor="#000000">
            <v:stroke dashstyle="solid"/>
            <w10:wrap type="none"/>
          </v:rect>
        </w:pict>
      </w:r>
      <w:r>
        <w:rPr>
          <w:w w:val="105"/>
        </w:rPr>
        <w:t>Enrollment Ceiling Increase</w:t>
      </w:r>
    </w:p>
    <w:p>
      <w:pPr>
        <w:pStyle w:val="BodyText"/>
        <w:spacing w:line="252" w:lineRule="auto" w:before="9"/>
        <w:ind w:left="1064" w:right="56" w:firstLine="21"/>
      </w:pPr>
      <w:r>
        <w:rPr/>
        <w:pict>
          <v:rect style="position:absolute;margin-left:73.325699pt;margin-top:4.120977pt;width:6.0pt;height:6.0pt;mso-position-horizontal-relative:page;mso-position-vertical-relative:paragraph;z-index:15730176" filled="false" stroked="true" strokeweight=".72pt" strokecolor="#000000">
            <v:stroke dashstyle="solid"/>
            <w10:wrap type="none"/>
          </v:rect>
        </w:pict>
      </w:r>
      <w:r>
        <w:rPr/>
        <w:pict>
          <v:rect style="position:absolute;margin-left:73.325699pt;margin-top:16.360977pt;width:6.0pt;height:6.0pt;mso-position-horizontal-relative:page;mso-position-vertical-relative:paragraph;z-index:15730688" filled="false" stroked="true" strokeweight=".72pt" strokecolor="#000000">
            <v:stroke dashstyle="solid"/>
            <w10:wrap type="none"/>
          </v:rect>
        </w:pict>
      </w:r>
      <w:r>
        <w:rPr/>
        <w:pict>
          <v:rect style="position:absolute;margin-left:73.325699pt;margin-top:28.360977pt;width:6.0pt;height:6.0pt;mso-position-horizontal-relative:page;mso-position-vertical-relative:paragraph;z-index:15731200" filled="false" stroked="true" strokeweight=".72pt" strokecolor="#000000">
            <v:stroke dashstyle="solid"/>
            <w10:wrap type="none"/>
          </v:rect>
        </w:pict>
      </w:r>
      <w:r>
        <w:rPr/>
        <w:pict>
          <v:rect style="position:absolute;margin-left:73.325699pt;margin-top:40.600975pt;width:6.0pt;height:6.0pt;mso-position-horizontal-relative:page;mso-position-vertical-relative:paragraph;z-index:15731712" filled="false" stroked="true" strokeweight=".72pt" strokecolor="#000000">
            <v:stroke dashstyle="solid"/>
            <w10:wrap type="none"/>
          </v:rect>
        </w:pict>
      </w:r>
      <w:r>
        <w:rPr/>
        <w:drawing>
          <wp:anchor distT="0" distB="0" distL="0" distR="0" allowOverlap="1" layoutInCell="1" locked="0" behindDoc="0" simplePos="0" relativeHeight="15732224">
            <wp:simplePos x="0" y="0"/>
            <wp:positionH relativeFrom="page">
              <wp:posOffset>926664</wp:posOffset>
            </wp:positionH>
            <wp:positionV relativeFrom="paragraph">
              <wp:posOffset>666509</wp:posOffset>
            </wp:positionV>
            <wp:extent cx="86867" cy="85343"/>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86867" cy="85343"/>
                    </a:xfrm>
                    <a:prstGeom prst="rect">
                      <a:avLst/>
                    </a:prstGeom>
                  </pic:spPr>
                </pic:pic>
              </a:graphicData>
            </a:graphic>
          </wp:anchor>
        </w:drawing>
      </w:r>
      <w:r>
        <w:rPr/>
        <w:pict>
          <v:rect style="position:absolute;margin-left:73.325699pt;margin-top:64.841003pt;width:6.0pt;height:6.0pt;mso-position-horizontal-relative:page;mso-position-vertical-relative:paragraph;z-index:15732736" filled="false" stroked="true" strokeweight=".72pt" strokecolor="#000000">
            <v:stroke dashstyle="solid"/>
            <w10:wrap type="none"/>
          </v:rect>
        </w:pict>
      </w:r>
      <w:r>
        <w:rPr/>
        <w:pict>
          <v:rect style="position:absolute;margin-left:73.325699pt;margin-top:77.081001pt;width:6.0pt;height:6.0pt;mso-position-horizontal-relative:page;mso-position-vertical-relative:paragraph;z-index:15733248" filled="false" stroked="true" strokeweight=".72pt" strokecolor="#000000">
            <v:stroke dashstyle="solid"/>
            <w10:wrap type="none"/>
          </v:rect>
        </w:pict>
      </w:r>
      <w:r>
        <w:rPr>
          <w:w w:val="105"/>
        </w:rPr>
        <w:t>Program Replication of Grades Served Grade Level Expansion (Single Grade) Grade Level Expansion (Grade Band) Additional Facility or New Location Goals and Achievement Expectations Mission or Education Philosophy Curriculum, Standards or Assessments</w:t>
      </w:r>
    </w:p>
    <w:p>
      <w:pPr>
        <w:pStyle w:val="Heading2"/>
        <w:tabs>
          <w:tab w:pos="3724" w:val="left" w:leader="none"/>
        </w:tabs>
        <w:spacing w:before="112"/>
      </w:pPr>
      <w:r>
        <w:rPr>
          <w:w w:val="105"/>
        </w:rPr>
        <w:t>SUBMISSION DATE:</w:t>
        <w:tab/>
      </w:r>
      <w:r>
        <w:rPr>
          <w:w w:val="105"/>
          <w:shd w:fill="FFFF00" w:color="auto" w:val="clear"/>
        </w:rPr>
        <w:t>7/29/2020</w:t>
      </w:r>
    </w:p>
    <w:p>
      <w:pPr>
        <w:pStyle w:val="BodyText"/>
        <w:spacing w:line="249" w:lineRule="auto" w:before="107"/>
        <w:ind w:left="874" w:right="1367"/>
      </w:pPr>
      <w:r>
        <w:rPr/>
        <w:br w:type="column"/>
      </w:r>
      <w:r>
        <w:rPr>
          <w:w w:val="105"/>
        </w:rPr>
        <w:t>Name Change – Campus or Facility Campus Reconfiguration</w:t>
      </w:r>
    </w:p>
    <w:p>
      <w:pPr>
        <w:pStyle w:val="BodyText"/>
        <w:spacing w:before="4"/>
        <w:ind w:left="874"/>
      </w:pPr>
      <w:r>
        <w:rPr/>
        <w:pict>
          <v:rect style="position:absolute;margin-left:325.325684pt;margin-top:-20.369013pt;width:6.0pt;height:6.0pt;mso-position-horizontal-relative:page;mso-position-vertical-relative:paragraph;z-index:15733760" filled="false" stroked="true" strokeweight=".72pt" strokecolor="#000000">
            <v:stroke dashstyle="solid"/>
            <w10:wrap type="none"/>
          </v:rect>
        </w:pict>
      </w:r>
      <w:r>
        <w:rPr/>
        <w:pict>
          <v:rect style="position:absolute;margin-left:325.325684pt;margin-top:-8.369013pt;width:6.0pt;height:6.0pt;mso-position-horizontal-relative:page;mso-position-vertical-relative:paragraph;z-index:15734272" filled="false" stroked="true" strokeweight=".72pt" strokecolor="#000000">
            <v:stroke dashstyle="solid"/>
            <w10:wrap type="none"/>
          </v:rect>
        </w:pict>
      </w:r>
      <w:r>
        <w:rPr/>
        <w:pict>
          <v:rect style="position:absolute;margin-left:325.325684pt;margin-top:3.870987pt;width:6.0pt;height:6.0pt;mso-position-horizontal-relative:page;mso-position-vertical-relative:paragraph;z-index:15734784" filled="false" stroked="true" strokeweight=".72pt" strokecolor="#000000">
            <v:stroke dashstyle="solid"/>
            <w10:wrap type="none"/>
          </v:rect>
        </w:pict>
      </w:r>
      <w:r>
        <w:rPr>
          <w:w w:val="105"/>
        </w:rPr>
        <w:t>LEA Status for Special Education</w:t>
      </w:r>
    </w:p>
    <w:p>
      <w:pPr>
        <w:pStyle w:val="BodyText"/>
        <w:spacing w:line="254" w:lineRule="auto" w:before="9"/>
        <w:ind w:left="874" w:right="838"/>
      </w:pPr>
      <w:r>
        <w:rPr/>
        <w:pict>
          <v:rect style="position:absolute;margin-left:325.325684pt;margin-top:4.120986pt;width:6.0pt;height:6.0pt;mso-position-horizontal-relative:page;mso-position-vertical-relative:paragraph;z-index:15735296" filled="false" stroked="true" strokeweight=".72pt" strokecolor="#000000">
            <v:stroke dashstyle="solid"/>
            <w10:wrap type="none"/>
          </v:rect>
        </w:pict>
      </w:r>
      <w:r>
        <w:rPr/>
        <w:pict>
          <v:rect style="position:absolute;margin-left:325.325684pt;margin-top:16.360987pt;width:6.0pt;height:6.0pt;mso-position-horizontal-relative:page;mso-position-vertical-relative:paragraph;z-index:15735808" filled="false" stroked="true" strokeweight=".72pt" strokecolor="#000000">
            <v:stroke dashstyle="solid"/>
            <w10:wrap type="none"/>
          </v:rect>
        </w:pict>
      </w:r>
      <w:r>
        <w:rPr>
          <w:w w:val="105"/>
        </w:rPr>
        <w:t>Special Education Enrollment Preference Governance Structure</w:t>
      </w:r>
    </w:p>
    <w:p>
      <w:pPr>
        <w:spacing w:line="186" w:lineRule="exact" w:before="0"/>
        <w:ind w:left="844" w:right="0" w:firstLine="0"/>
        <w:jc w:val="left"/>
        <w:rPr>
          <w:sz w:val="16"/>
        </w:rPr>
      </w:pPr>
      <w:r>
        <w:rPr>
          <w:sz w:val="16"/>
        </w:rPr>
        <w:t>(Bylaws, Articles of Incorporation or Management)</w:t>
      </w:r>
    </w:p>
    <w:p>
      <w:pPr>
        <w:pStyle w:val="BodyText"/>
        <w:spacing w:before="6"/>
        <w:ind w:left="853"/>
      </w:pPr>
      <w:r>
        <w:rPr/>
        <w:pict>
          <v:rect style="position:absolute;margin-left:325.325684pt;margin-top:3.970993pt;width:6.0pt;height:6.0pt;mso-position-horizontal-relative:page;mso-position-vertical-relative:paragraph;z-index:15736320" filled="false" stroked="true" strokeweight=".72pt" strokecolor="#000000">
            <v:stroke dashstyle="solid"/>
            <w10:wrap type="none"/>
          </v:rect>
        </w:pict>
      </w:r>
      <w:r>
        <w:rPr>
          <w:w w:val="105"/>
        </w:rPr>
        <w:t>Graduation Requirements</w:t>
      </w:r>
    </w:p>
    <w:p>
      <w:pPr>
        <w:pStyle w:val="BodyText"/>
        <w:spacing w:before="14"/>
        <w:ind w:left="853"/>
      </w:pPr>
      <w:r>
        <w:rPr/>
        <w:pict>
          <v:rect style="position:absolute;margin-left:325.325684pt;margin-top:4.371002pt;width:6.0pt;height:6.0pt;mso-position-horizontal-relative:page;mso-position-vertical-relative:paragraph;z-index:15736832" filled="false" stroked="true" strokeweight=".72pt" strokecolor="#000000">
            <v:stroke dashstyle="solid"/>
            <w10:wrap type="none"/>
          </v:rect>
        </w:pict>
      </w:r>
      <w:r>
        <w:rPr>
          <w:w w:val="105"/>
        </w:rPr>
        <w:t>Competency-Based Learning Application</w:t>
      </w:r>
    </w:p>
    <w:p>
      <w:pPr>
        <w:spacing w:after="0"/>
        <w:sectPr>
          <w:type w:val="continuous"/>
          <w:pgSz w:w="12240" w:h="15840"/>
          <w:pgMar w:top="420" w:bottom="280" w:left="600" w:right="600"/>
          <w:cols w:num="2" w:equalWidth="0">
            <w:col w:w="5037" w:space="214"/>
            <w:col w:w="5789"/>
          </w:cols>
        </w:sectPr>
      </w:pPr>
    </w:p>
    <w:p>
      <w:pPr>
        <w:pStyle w:val="BodyText"/>
        <w:spacing w:before="6"/>
        <w:rPr>
          <w:sz w:val="12"/>
        </w:rPr>
      </w:pPr>
    </w:p>
    <w:p>
      <w:pPr>
        <w:pStyle w:val="Heading2"/>
        <w:spacing w:after="23"/>
      </w:pPr>
      <w:r>
        <w:rPr>
          <w:w w:val="105"/>
        </w:rPr>
        <w:t>SCHOOL BACKGROUND</w:t>
      </w:r>
    </w:p>
    <w:p>
      <w:pPr>
        <w:pStyle w:val="BodyText"/>
        <w:spacing w:line="28" w:lineRule="exact"/>
        <w:ind w:left="816"/>
        <w:rPr>
          <w:sz w:val="2"/>
        </w:rPr>
      </w:pPr>
      <w:r>
        <w:rPr>
          <w:position w:val="0"/>
          <w:sz w:val="2"/>
        </w:rPr>
        <w:pict>
          <v:group style="width:470.9pt;height:1.45pt;mso-position-horizontal-relative:char;mso-position-vertical-relative:line" coordorigin="0,0" coordsize="9418,29">
            <v:rect style="position:absolute;left:0;top:0;width:9418;height:29" filled="true" fillcolor="#000000" stroked="false">
              <v:fill type="solid"/>
            </v:rect>
          </v:group>
        </w:pict>
      </w:r>
      <w:r>
        <w:rPr>
          <w:position w:val="0"/>
          <w:sz w:val="2"/>
        </w:rPr>
      </w:r>
    </w:p>
    <w:p>
      <w:pPr>
        <w:spacing w:line="254" w:lineRule="auto" w:before="6"/>
        <w:ind w:left="844" w:right="843" w:firstLine="0"/>
        <w:jc w:val="left"/>
        <w:rPr>
          <w:i/>
          <w:sz w:val="19"/>
        </w:rPr>
      </w:pPr>
      <w:r>
        <w:rPr>
          <w:i/>
          <w:w w:val="105"/>
          <w:sz w:val="19"/>
        </w:rPr>
        <w:t>Please address the following questions in their entirety. This information provides helpful background to the DC PCSB Board as it reviews these requests.</w:t>
      </w:r>
    </w:p>
    <w:p>
      <w:pPr>
        <w:pStyle w:val="BodyText"/>
        <w:spacing w:before="120"/>
        <w:ind w:left="844"/>
      </w:pPr>
      <w:r>
        <w:rPr>
          <w:w w:val="105"/>
          <w:u w:val="single"/>
        </w:rPr>
        <w:t>Overview of School Performance</w:t>
      </w:r>
    </w:p>
    <w:p>
      <w:pPr>
        <w:pStyle w:val="ListParagraph"/>
        <w:numPr>
          <w:ilvl w:val="0"/>
          <w:numId w:val="1"/>
        </w:numPr>
        <w:tabs>
          <w:tab w:pos="1205" w:val="left" w:leader="none"/>
        </w:tabs>
        <w:spacing w:line="240" w:lineRule="auto" w:before="9" w:after="0"/>
        <w:ind w:left="1204" w:right="0" w:hanging="361"/>
        <w:jc w:val="left"/>
        <w:rPr>
          <w:sz w:val="19"/>
        </w:rPr>
      </w:pPr>
      <w:r>
        <w:rPr>
          <w:w w:val="105"/>
          <w:sz w:val="19"/>
        </w:rPr>
        <w:t>Provide the following information about your Local Education Agency (LEA) by</w:t>
      </w:r>
      <w:r>
        <w:rPr>
          <w:spacing w:val="1"/>
          <w:w w:val="105"/>
          <w:sz w:val="19"/>
        </w:rPr>
        <w:t> </w:t>
      </w:r>
      <w:r>
        <w:rPr>
          <w:w w:val="105"/>
          <w:sz w:val="19"/>
        </w:rPr>
        <w:t>campus:</w:t>
      </w:r>
    </w:p>
    <w:p>
      <w:pPr>
        <w:pStyle w:val="ListParagraph"/>
        <w:numPr>
          <w:ilvl w:val="1"/>
          <w:numId w:val="1"/>
        </w:numPr>
        <w:tabs>
          <w:tab w:pos="1565" w:val="left" w:leader="none"/>
        </w:tabs>
        <w:spacing w:line="240" w:lineRule="auto" w:before="14" w:after="0"/>
        <w:ind w:left="1564" w:right="0" w:hanging="361"/>
        <w:jc w:val="left"/>
        <w:rPr>
          <w:b/>
          <w:sz w:val="19"/>
        </w:rPr>
      </w:pPr>
      <w:r>
        <w:rPr>
          <w:w w:val="105"/>
          <w:sz w:val="19"/>
        </w:rPr>
        <w:t>Campus name(s) and location(s): </w:t>
      </w:r>
      <w:r>
        <w:rPr>
          <w:b/>
          <w:color w:val="C00000"/>
          <w:w w:val="105"/>
          <w:sz w:val="19"/>
        </w:rPr>
        <w:t>Kingsman Academy Public Charter</w:t>
      </w:r>
      <w:r>
        <w:rPr>
          <w:b/>
          <w:color w:val="C00000"/>
          <w:spacing w:val="6"/>
          <w:w w:val="105"/>
          <w:sz w:val="19"/>
        </w:rPr>
        <w:t> </w:t>
      </w:r>
      <w:r>
        <w:rPr>
          <w:b/>
          <w:color w:val="C00000"/>
          <w:w w:val="105"/>
          <w:sz w:val="19"/>
        </w:rPr>
        <w:t>School</w:t>
      </w:r>
    </w:p>
    <w:p>
      <w:pPr>
        <w:pStyle w:val="ListParagraph"/>
        <w:numPr>
          <w:ilvl w:val="1"/>
          <w:numId w:val="1"/>
        </w:numPr>
        <w:tabs>
          <w:tab w:pos="1565" w:val="left" w:leader="none"/>
        </w:tabs>
        <w:spacing w:line="240" w:lineRule="auto" w:before="134" w:after="0"/>
        <w:ind w:left="1564" w:right="0" w:hanging="361"/>
        <w:jc w:val="left"/>
        <w:rPr>
          <w:b/>
          <w:sz w:val="19"/>
        </w:rPr>
      </w:pPr>
      <w:r>
        <w:rPr>
          <w:w w:val="105"/>
          <w:sz w:val="19"/>
        </w:rPr>
        <w:t>Year opened:</w:t>
      </w:r>
      <w:r>
        <w:rPr>
          <w:spacing w:val="2"/>
          <w:w w:val="105"/>
          <w:sz w:val="19"/>
        </w:rPr>
        <w:t> </w:t>
      </w:r>
      <w:r>
        <w:rPr>
          <w:b/>
          <w:color w:val="C00000"/>
          <w:w w:val="105"/>
          <w:sz w:val="19"/>
        </w:rPr>
        <w:t>2015</w:t>
      </w:r>
    </w:p>
    <w:p>
      <w:pPr>
        <w:pStyle w:val="ListParagraph"/>
        <w:numPr>
          <w:ilvl w:val="1"/>
          <w:numId w:val="1"/>
        </w:numPr>
        <w:tabs>
          <w:tab w:pos="1565" w:val="left" w:leader="none"/>
        </w:tabs>
        <w:spacing w:line="254" w:lineRule="auto" w:before="129" w:after="0"/>
        <w:ind w:left="1564" w:right="2028" w:hanging="360"/>
        <w:jc w:val="left"/>
        <w:rPr>
          <w:b/>
          <w:sz w:val="19"/>
        </w:rPr>
      </w:pPr>
      <w:r>
        <w:rPr>
          <w:w w:val="105"/>
          <w:sz w:val="19"/>
        </w:rPr>
        <w:t>Grade levels served (Currently and at maturation of charter agreement, if applicable): </w:t>
      </w:r>
      <w:r>
        <w:rPr>
          <w:b/>
          <w:color w:val="C00000"/>
          <w:w w:val="105"/>
          <w:sz w:val="19"/>
        </w:rPr>
        <w:t>6 -</w:t>
      </w:r>
      <w:r>
        <w:rPr>
          <w:b/>
          <w:color w:val="C00000"/>
          <w:spacing w:val="2"/>
          <w:w w:val="105"/>
          <w:sz w:val="19"/>
        </w:rPr>
        <w:t> </w:t>
      </w:r>
      <w:r>
        <w:rPr>
          <w:b/>
          <w:color w:val="C00000"/>
          <w:w w:val="105"/>
          <w:sz w:val="19"/>
        </w:rPr>
        <w:t>12</w:t>
      </w:r>
    </w:p>
    <w:p>
      <w:pPr>
        <w:pStyle w:val="ListParagraph"/>
        <w:numPr>
          <w:ilvl w:val="1"/>
          <w:numId w:val="1"/>
        </w:numPr>
        <w:tabs>
          <w:tab w:pos="1565" w:val="left" w:leader="none"/>
        </w:tabs>
        <w:spacing w:line="240" w:lineRule="auto" w:before="120" w:after="0"/>
        <w:ind w:left="1564" w:right="0" w:hanging="361"/>
        <w:jc w:val="left"/>
        <w:rPr>
          <w:b/>
          <w:sz w:val="19"/>
        </w:rPr>
      </w:pPr>
      <w:r>
        <w:rPr>
          <w:w w:val="105"/>
          <w:sz w:val="19"/>
        </w:rPr>
        <w:t>Date that charter will be eligible for possible renewal:</w:t>
      </w:r>
      <w:r>
        <w:rPr>
          <w:spacing w:val="5"/>
          <w:w w:val="105"/>
          <w:sz w:val="19"/>
        </w:rPr>
        <w:t> </w:t>
      </w:r>
      <w:r>
        <w:rPr>
          <w:b/>
          <w:color w:val="C00000"/>
          <w:w w:val="105"/>
          <w:sz w:val="19"/>
        </w:rPr>
        <w:t>06/29/2030</w:t>
      </w:r>
    </w:p>
    <w:p>
      <w:pPr>
        <w:pStyle w:val="BodyText"/>
        <w:spacing w:before="6"/>
        <w:rPr>
          <w:b/>
          <w:sz w:val="20"/>
        </w:rPr>
      </w:pPr>
    </w:p>
    <w:p>
      <w:pPr>
        <w:pStyle w:val="ListParagraph"/>
        <w:numPr>
          <w:ilvl w:val="0"/>
          <w:numId w:val="1"/>
        </w:numPr>
        <w:tabs>
          <w:tab w:pos="1205" w:val="left" w:leader="none"/>
        </w:tabs>
        <w:spacing w:line="254" w:lineRule="auto" w:before="0" w:after="0"/>
        <w:ind w:left="1204" w:right="1673" w:hanging="360"/>
        <w:jc w:val="left"/>
        <w:rPr>
          <w:sz w:val="19"/>
        </w:rPr>
      </w:pPr>
      <w:r>
        <w:rPr>
          <w:w w:val="105"/>
          <w:sz w:val="19"/>
        </w:rPr>
        <w:t>Please select the performance indicators below that describe the school’s current performance*: (Mark all that</w:t>
      </w:r>
      <w:r>
        <w:rPr>
          <w:spacing w:val="3"/>
          <w:w w:val="105"/>
          <w:sz w:val="19"/>
        </w:rPr>
        <w:t> </w:t>
      </w:r>
      <w:r>
        <w:rPr>
          <w:w w:val="105"/>
          <w:sz w:val="19"/>
        </w:rPr>
        <w:t>apply)</w:t>
      </w:r>
    </w:p>
    <w:p>
      <w:pPr>
        <w:pStyle w:val="BodyText"/>
        <w:spacing w:before="7"/>
        <w:rPr>
          <w:sz w:val="10"/>
        </w:rPr>
      </w:pPr>
    </w:p>
    <w:p>
      <w:pPr>
        <w:pStyle w:val="BodyText"/>
        <w:spacing w:line="254" w:lineRule="auto" w:before="107"/>
        <w:ind w:left="1564" w:right="843"/>
      </w:pPr>
      <w:r>
        <w:rPr/>
        <w:pict>
          <v:rect style="position:absolute;margin-left:91.325699pt;margin-top:5.901016pt;width:9.84pt;height:9.84pt;mso-position-horizontal-relative:page;mso-position-vertical-relative:paragraph;z-index:15737344" filled="false" stroked="true" strokeweight=".72pt" strokecolor="#000000">
            <v:stroke dashstyle="solid"/>
            <w10:wrap type="none"/>
          </v:rect>
        </w:pict>
      </w:r>
      <w:r>
        <w:rPr>
          <w:w w:val="105"/>
        </w:rPr>
        <w:t>Currently rated Tier 1, or met at least 2/3 of targets on the most recent PK-only PMF or Alternative Accountability Framework.</w:t>
      </w:r>
    </w:p>
    <w:p>
      <w:pPr>
        <w:pStyle w:val="BodyText"/>
        <w:spacing w:before="120"/>
        <w:ind w:left="1219"/>
      </w:pPr>
      <w:r>
        <w:rPr>
          <w:position w:val="-1"/>
        </w:rPr>
        <w:drawing>
          <wp:inline distT="0" distB="0" distL="0" distR="0">
            <wp:extent cx="135635" cy="134111"/>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135635" cy="134111"/>
                    </a:xfrm>
                    <a:prstGeom prst="rect">
                      <a:avLst/>
                    </a:prstGeom>
                  </pic:spPr>
                </pic:pic>
              </a:graphicData>
            </a:graphic>
          </wp:inline>
        </w:drawing>
      </w:r>
      <w:r>
        <w:rPr>
          <w:position w:val="-1"/>
        </w:rPr>
      </w:r>
      <w:r>
        <w:rPr>
          <w:rFonts w:ascii="Times New Roman"/>
          <w:sz w:val="20"/>
        </w:rPr>
        <w:t>  </w:t>
      </w:r>
      <w:r>
        <w:rPr>
          <w:rFonts w:ascii="Times New Roman"/>
          <w:spacing w:val="-18"/>
          <w:sz w:val="20"/>
        </w:rPr>
        <w:t> </w:t>
      </w:r>
      <w:r>
        <w:rPr>
          <w:w w:val="105"/>
        </w:rPr>
        <w:t>School is not currently under corrective</w:t>
      </w:r>
      <w:r>
        <w:rPr>
          <w:spacing w:val="4"/>
          <w:w w:val="105"/>
        </w:rPr>
        <w:t> </w:t>
      </w:r>
      <w:r>
        <w:rPr>
          <w:w w:val="105"/>
        </w:rPr>
        <w:t>action.</w:t>
      </w:r>
    </w:p>
    <w:p>
      <w:pPr>
        <w:pStyle w:val="BodyText"/>
        <w:spacing w:line="379" w:lineRule="auto" w:before="129"/>
        <w:ind w:left="1219" w:right="2943"/>
      </w:pPr>
      <w:r>
        <w:rPr>
          <w:position w:val="-1"/>
        </w:rPr>
        <w:drawing>
          <wp:inline distT="0" distB="0" distL="0" distR="0">
            <wp:extent cx="135635" cy="134111"/>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35635" cy="134111"/>
                    </a:xfrm>
                    <a:prstGeom prst="rect">
                      <a:avLst/>
                    </a:prstGeom>
                  </pic:spPr>
                </pic:pic>
              </a:graphicData>
            </a:graphic>
          </wp:inline>
        </w:drawing>
      </w:r>
      <w:r>
        <w:rPr>
          <w:position w:val="-1"/>
        </w:rPr>
      </w:r>
      <w:r>
        <w:rPr>
          <w:rFonts w:ascii="Times New Roman"/>
          <w:sz w:val="20"/>
        </w:rPr>
        <w:t>  </w:t>
      </w:r>
      <w:r>
        <w:rPr>
          <w:rFonts w:ascii="Times New Roman"/>
          <w:spacing w:val="-18"/>
          <w:sz w:val="20"/>
        </w:rPr>
        <w:t> </w:t>
      </w:r>
      <w:r>
        <w:rPr>
          <w:w w:val="105"/>
        </w:rPr>
        <w:t>Has historically met enrollment projections w/in 80%</w:t>
      </w:r>
      <w:r>
        <w:rPr>
          <w:spacing w:val="-17"/>
          <w:w w:val="105"/>
        </w:rPr>
        <w:t> </w:t>
      </w:r>
      <w:r>
        <w:rPr>
          <w:w w:val="105"/>
        </w:rPr>
        <w:t>of</w:t>
      </w:r>
      <w:r>
        <w:rPr>
          <w:spacing w:val="-4"/>
          <w:w w:val="105"/>
        </w:rPr>
        <w:t> </w:t>
      </w:r>
      <w:r>
        <w:rPr>
          <w:w w:val="105"/>
        </w:rPr>
        <w:t>target.</w:t>
      </w:r>
      <w:r>
        <w:rPr>
          <w:w w:val="103"/>
        </w:rPr>
        <w:t> </w:t>
      </w:r>
      <w:r>
        <w:rPr>
          <w:w w:val="103"/>
          <w:position w:val="-1"/>
        </w:rPr>
        <w:drawing>
          <wp:inline distT="0" distB="0" distL="0" distR="0">
            <wp:extent cx="135635" cy="134111"/>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7" cstate="print"/>
                    <a:stretch>
                      <a:fillRect/>
                    </a:stretch>
                  </pic:blipFill>
                  <pic:spPr>
                    <a:xfrm>
                      <a:off x="0" y="0"/>
                      <a:ext cx="135635" cy="134111"/>
                    </a:xfrm>
                    <a:prstGeom prst="rect">
                      <a:avLst/>
                    </a:prstGeom>
                  </pic:spPr>
                </pic:pic>
              </a:graphicData>
            </a:graphic>
          </wp:inline>
        </w:drawing>
      </w:r>
      <w:r>
        <w:rPr>
          <w:w w:val="103"/>
          <w:position w:val="-1"/>
        </w:rPr>
      </w:r>
      <w:r>
        <w:rPr>
          <w:rFonts w:ascii="Times New Roman"/>
          <w:w w:val="103"/>
        </w:rPr>
        <w:t>  </w:t>
      </w:r>
      <w:r>
        <w:rPr>
          <w:rFonts w:ascii="Times New Roman"/>
          <w:spacing w:val="-16"/>
          <w:w w:val="103"/>
        </w:rPr>
        <w:t> </w:t>
      </w:r>
      <w:r>
        <w:rPr>
          <w:w w:val="105"/>
        </w:rPr>
        <w:t>School has been in operation for 3+</w:t>
      </w:r>
      <w:r>
        <w:rPr>
          <w:spacing w:val="6"/>
          <w:w w:val="105"/>
        </w:rPr>
        <w:t> </w:t>
      </w:r>
      <w:r>
        <w:rPr>
          <w:w w:val="105"/>
        </w:rPr>
        <w:t>years.</w:t>
      </w:r>
    </w:p>
    <w:p>
      <w:pPr>
        <w:spacing w:before="0"/>
        <w:ind w:left="1219" w:right="0" w:firstLine="0"/>
        <w:jc w:val="left"/>
        <w:rPr>
          <w:b/>
          <w:sz w:val="19"/>
        </w:rPr>
      </w:pPr>
      <w:r>
        <w:rPr>
          <w:position w:val="-1"/>
        </w:rPr>
        <w:drawing>
          <wp:inline distT="0" distB="0" distL="0" distR="0">
            <wp:extent cx="135635" cy="134111"/>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135635" cy="134111"/>
                    </a:xfrm>
                    <a:prstGeom prst="rect">
                      <a:avLst/>
                    </a:prstGeom>
                  </pic:spPr>
                </pic:pic>
              </a:graphicData>
            </a:graphic>
          </wp:inline>
        </w:drawing>
      </w:r>
      <w:r>
        <w:rPr>
          <w:position w:val="-1"/>
        </w:rPr>
      </w:r>
      <w:r>
        <w:rPr>
          <w:rFonts w:ascii="Times New Roman"/>
          <w:sz w:val="20"/>
        </w:rPr>
        <w:t>    </w:t>
      </w:r>
      <w:r>
        <w:rPr>
          <w:rFonts w:ascii="Times New Roman"/>
          <w:spacing w:val="-24"/>
          <w:sz w:val="20"/>
        </w:rPr>
        <w:t> </w:t>
      </w:r>
      <w:r>
        <w:rPr>
          <w:w w:val="105"/>
          <w:sz w:val="19"/>
        </w:rPr>
        <w:t>School is currently accredited.</w:t>
      </w:r>
      <w:r>
        <w:rPr>
          <w:spacing w:val="3"/>
          <w:w w:val="105"/>
          <w:sz w:val="19"/>
        </w:rPr>
        <w:t> </w:t>
      </w:r>
      <w:r>
        <w:rPr>
          <w:b/>
          <w:color w:val="C00000"/>
          <w:w w:val="105"/>
          <w:sz w:val="19"/>
        </w:rPr>
        <w:t>12/01/2026</w:t>
      </w:r>
    </w:p>
    <w:p>
      <w:pPr>
        <w:pStyle w:val="BodyText"/>
        <w:spacing w:line="254" w:lineRule="auto" w:before="129"/>
        <w:ind w:left="1275" w:right="1427" w:hanging="71"/>
        <w:rPr>
          <w:b/>
        </w:rPr>
      </w:pPr>
      <w:r>
        <w:rPr>
          <w:w w:val="105"/>
        </w:rPr>
        <w:t>*If the school has multiple campuses or varying PMFs, please describe the academic performance of each campus here: </w:t>
      </w:r>
      <w:r>
        <w:rPr>
          <w:b/>
          <w:color w:val="C00000"/>
          <w:w w:val="105"/>
        </w:rPr>
        <w:t>N/A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rPr>
      </w:pPr>
    </w:p>
    <w:p>
      <w:pPr>
        <w:spacing w:line="240" w:lineRule="auto" w:before="0"/>
        <w:ind w:left="844" w:right="1217" w:firstLine="0"/>
        <w:jc w:val="left"/>
        <w:rPr>
          <w:i/>
          <w:sz w:val="16"/>
        </w:rPr>
      </w:pPr>
      <w:r>
        <w:rPr>
          <w:rFonts w:ascii="Verdana-BoldItalic" w:hAnsi="Verdana-BoldItalic"/>
          <w:b/>
          <w:i/>
          <w:sz w:val="16"/>
        </w:rPr>
        <w:t>Disclaimer: </w:t>
      </w:r>
      <w:r>
        <w:rPr>
          <w:i/>
          <w:sz w:val="16"/>
        </w:rPr>
        <w:t>While processing this application, DC PCSB staff may contact you later to request additional information for the Board’s consideration. By submitting this application, you agree to cooperate with DC PCSB staff to ensure your application is processed in a timely manner. For questions, please contact DC PCSB staff person Laterica (Teri) Quinn at (202) 328-2660.</w:t>
      </w:r>
    </w:p>
    <w:p>
      <w:pPr>
        <w:spacing w:after="0" w:line="240" w:lineRule="auto"/>
        <w:jc w:val="left"/>
        <w:rPr>
          <w:sz w:val="16"/>
        </w:rPr>
        <w:sectPr>
          <w:type w:val="continuous"/>
          <w:pgSz w:w="12240" w:h="15840"/>
          <w:pgMar w:top="420" w:bottom="280" w:left="600" w:right="600"/>
        </w:sectPr>
      </w:pPr>
    </w:p>
    <w:p>
      <w:pPr>
        <w:pStyle w:val="BodyText"/>
        <w:spacing w:before="11"/>
        <w:rPr>
          <w:i/>
          <w:sz w:val="14"/>
        </w:rPr>
      </w:pPr>
    </w:p>
    <w:p>
      <w:pPr>
        <w:pStyle w:val="Heading2"/>
        <w:spacing w:after="23"/>
      </w:pPr>
      <w:r>
        <w:rPr>
          <w:w w:val="105"/>
        </w:rPr>
        <w:t>PROPOSAL</w:t>
      </w:r>
    </w:p>
    <w:p>
      <w:pPr>
        <w:pStyle w:val="BodyText"/>
        <w:spacing w:line="28" w:lineRule="exact"/>
        <w:ind w:left="816"/>
        <w:rPr>
          <w:sz w:val="2"/>
        </w:rPr>
      </w:pPr>
      <w:r>
        <w:rPr>
          <w:position w:val="0"/>
          <w:sz w:val="2"/>
        </w:rPr>
        <w:pict>
          <v:group style="width:470.9pt;height:1.45pt;mso-position-horizontal-relative:char;mso-position-vertical-relative:line" coordorigin="0,0" coordsize="9418,29">
            <v:rect style="position:absolute;left:0;top:0;width:9418;height:29" filled="true" fillcolor="#000000" stroked="false">
              <v:fill type="solid"/>
            </v:rect>
          </v:group>
        </w:pict>
      </w:r>
      <w:r>
        <w:rPr>
          <w:position w:val="0"/>
          <w:sz w:val="2"/>
        </w:rPr>
      </w:r>
    </w:p>
    <w:p>
      <w:pPr>
        <w:pStyle w:val="BodyText"/>
        <w:tabs>
          <w:tab w:pos="6518" w:val="left" w:leader="none"/>
          <w:tab w:pos="7915" w:val="left" w:leader="none"/>
        </w:tabs>
        <w:spacing w:line="252" w:lineRule="auto" w:before="126"/>
        <w:ind w:left="844" w:right="965"/>
        <w:rPr>
          <w:i/>
        </w:rPr>
      </w:pPr>
      <w:r>
        <w:rPr>
          <w:w w:val="105"/>
          <w:shd w:fill="FFFF00" w:color="auto" w:val="clear"/>
        </w:rPr>
        <w:t>Kingsman Academy Public Charter School</w:t>
      </w:r>
      <w:r>
        <w:rPr>
          <w:w w:val="105"/>
        </w:rPr>
        <w:t> submits to the DC Public Charter School Board this application to amend its charter agreement by changing the item(s) selected above. If approved, this amendment will be</w:t>
      </w:r>
      <w:r>
        <w:rPr>
          <w:spacing w:val="-6"/>
          <w:w w:val="105"/>
        </w:rPr>
        <w:t> </w:t>
      </w:r>
      <w:r>
        <w:rPr>
          <w:w w:val="105"/>
        </w:rPr>
        <w:t>effective on</w:t>
      </w:r>
      <w:r>
        <w:rPr>
          <w:w w:val="105"/>
          <w:u w:val="single"/>
        </w:rPr>
        <w:t> </w:t>
        <w:tab/>
      </w:r>
      <w:r>
        <w:rPr>
          <w:w w:val="105"/>
        </w:rPr>
        <w:t>,</w:t>
      </w:r>
      <w:r>
        <w:rPr>
          <w:spacing w:val="-1"/>
          <w:w w:val="105"/>
        </w:rPr>
        <w:t> </w:t>
      </w:r>
      <w:r>
        <w:rPr>
          <w:w w:val="105"/>
        </w:rPr>
        <w:t>20</w:t>
      </w:r>
      <w:r>
        <w:rPr>
          <w:w w:val="105"/>
          <w:u w:val="single"/>
        </w:rPr>
        <w:t> </w:t>
        <w:tab/>
      </w:r>
      <w:r>
        <w:rPr>
          <w:i/>
          <w:w w:val="105"/>
        </w:rPr>
        <w:t>(leave blank if this has not been</w:t>
      </w:r>
      <w:r>
        <w:rPr>
          <w:i/>
          <w:spacing w:val="3"/>
          <w:w w:val="105"/>
        </w:rPr>
        <w:t> </w:t>
      </w:r>
      <w:r>
        <w:rPr>
          <w:i/>
          <w:w w:val="105"/>
        </w:rPr>
        <w:t>determined).</w:t>
      </w:r>
    </w:p>
    <w:p>
      <w:pPr>
        <w:pStyle w:val="BodyText"/>
        <w:spacing w:before="2"/>
        <w:rPr>
          <w:i/>
          <w:sz w:val="20"/>
        </w:rPr>
      </w:pPr>
    </w:p>
    <w:p>
      <w:pPr>
        <w:pStyle w:val="ListParagraph"/>
        <w:numPr>
          <w:ilvl w:val="0"/>
          <w:numId w:val="2"/>
        </w:numPr>
        <w:tabs>
          <w:tab w:pos="1205" w:val="left" w:leader="none"/>
        </w:tabs>
        <w:spacing w:line="252" w:lineRule="auto" w:before="0" w:after="0"/>
        <w:ind w:left="1204" w:right="990" w:hanging="360"/>
        <w:jc w:val="left"/>
        <w:rPr>
          <w:sz w:val="19"/>
        </w:rPr>
      </w:pPr>
      <w:r>
        <w:rPr>
          <w:w w:val="105"/>
          <w:sz w:val="19"/>
        </w:rPr>
        <w:t>Please provide details on the selected amendment(s) above and describe the requested change(s), including the school’s rationale for the proposed changes. Describe any planning that is already underway to prepare for the proposed</w:t>
      </w:r>
      <w:r>
        <w:rPr>
          <w:spacing w:val="8"/>
          <w:w w:val="105"/>
          <w:sz w:val="19"/>
        </w:rPr>
        <w:t> </w:t>
      </w:r>
      <w:r>
        <w:rPr>
          <w:w w:val="105"/>
          <w:sz w:val="19"/>
        </w:rPr>
        <w:t>amendment.</w:t>
      </w:r>
    </w:p>
    <w:p>
      <w:pPr>
        <w:pStyle w:val="BodyText"/>
        <w:spacing w:before="1"/>
        <w:rPr>
          <w:sz w:val="11"/>
        </w:rPr>
      </w:pPr>
    </w:p>
    <w:p>
      <w:pPr>
        <w:pStyle w:val="BodyText"/>
        <w:spacing w:line="278" w:lineRule="auto" w:before="107"/>
        <w:ind w:left="1204" w:right="843"/>
      </w:pPr>
      <w:r>
        <w:rPr>
          <w:w w:val="105"/>
          <w:shd w:fill="FFFF00" w:color="auto" w:val="clear"/>
        </w:rPr>
        <w:t>In June 2016, the DC Public Charter School Board approved Kingsman Academy’s</w:t>
      </w:r>
      <w:r>
        <w:rPr>
          <w:w w:val="105"/>
        </w:rPr>
        <w:t> </w:t>
      </w:r>
      <w:r>
        <w:rPr>
          <w:w w:val="105"/>
          <w:shd w:fill="FFFF00" w:color="auto" w:val="clear"/>
        </w:rPr>
        <w:t>application for alternative accountability status. The school has made some progress,</w:t>
      </w:r>
      <w:r>
        <w:rPr>
          <w:w w:val="105"/>
        </w:rPr>
        <w:t>  </w:t>
      </w:r>
      <w:r>
        <w:rPr>
          <w:w w:val="105"/>
          <w:shd w:fill="FFFF00" w:color="auto" w:val="clear"/>
        </w:rPr>
        <w:t>but the proposed amendment for goals and expectations will allow for alignment of goals</w:t>
      </w:r>
      <w:r>
        <w:rPr>
          <w:w w:val="105"/>
        </w:rPr>
        <w:t> </w:t>
      </w:r>
      <w:r>
        <w:rPr>
          <w:w w:val="105"/>
          <w:shd w:fill="FFFF00" w:color="auto" w:val="clear"/>
        </w:rPr>
        <w:t>to our school model, recently approved competency-based academic application, and the</w:t>
      </w:r>
      <w:r>
        <w:rPr>
          <w:w w:val="105"/>
        </w:rPr>
        <w:t> </w:t>
      </w:r>
      <w:r>
        <w:rPr>
          <w:w w:val="105"/>
          <w:shd w:fill="FFFF00" w:color="auto" w:val="clear"/>
        </w:rPr>
        <w:t>DC Public Charter School Board revised Alternative Accountability Framework. The</w:t>
      </w:r>
      <w:r>
        <w:rPr>
          <w:w w:val="105"/>
        </w:rPr>
        <w:t>  </w:t>
      </w:r>
      <w:r>
        <w:rPr>
          <w:w w:val="105"/>
          <w:shd w:fill="FFFF00" w:color="auto" w:val="clear"/>
        </w:rPr>
        <w:t>school has worked with national experts to develop academic program and our proposed</w:t>
      </w:r>
      <w:r>
        <w:rPr>
          <w:w w:val="105"/>
        </w:rPr>
        <w:t> </w:t>
      </w:r>
      <w:r>
        <w:rPr>
          <w:w w:val="105"/>
          <w:shd w:fill="FFFF00" w:color="auto" w:val="clear"/>
        </w:rPr>
        <w:t>AAF goals within the revised DC Public Charter School Board Alternative Accountability</w:t>
      </w:r>
      <w:r>
        <w:rPr>
          <w:w w:val="105"/>
        </w:rPr>
        <w:t> </w:t>
      </w:r>
      <w:r>
        <w:rPr>
          <w:w w:val="105"/>
          <w:shd w:fill="FFFF00" w:color="auto" w:val="clear"/>
        </w:rPr>
        <w:t>Framework.</w:t>
      </w:r>
    </w:p>
    <w:p>
      <w:pPr>
        <w:pStyle w:val="ListParagraph"/>
        <w:numPr>
          <w:ilvl w:val="0"/>
          <w:numId w:val="2"/>
        </w:numPr>
        <w:tabs>
          <w:tab w:pos="1205" w:val="left" w:leader="none"/>
        </w:tabs>
        <w:spacing w:line="240" w:lineRule="auto" w:before="113" w:after="0"/>
        <w:ind w:left="1204" w:right="0" w:hanging="361"/>
        <w:jc w:val="left"/>
        <w:rPr>
          <w:sz w:val="19"/>
        </w:rPr>
      </w:pPr>
      <w:r>
        <w:rPr>
          <w:w w:val="105"/>
          <w:sz w:val="19"/>
        </w:rPr>
        <w:t>How will the proposed amendment(s) support or enhance the school’s</w:t>
      </w:r>
      <w:r>
        <w:rPr>
          <w:spacing w:val="6"/>
          <w:w w:val="105"/>
          <w:sz w:val="19"/>
        </w:rPr>
        <w:t> </w:t>
      </w:r>
      <w:r>
        <w:rPr>
          <w:w w:val="105"/>
          <w:sz w:val="19"/>
        </w:rPr>
        <w:t>mission?</w:t>
      </w:r>
    </w:p>
    <w:p>
      <w:pPr>
        <w:pStyle w:val="BodyText"/>
        <w:spacing w:before="1"/>
        <w:rPr>
          <w:sz w:val="12"/>
        </w:rPr>
      </w:pPr>
    </w:p>
    <w:p>
      <w:pPr>
        <w:pStyle w:val="BodyText"/>
        <w:spacing w:line="252" w:lineRule="auto" w:before="107"/>
        <w:ind w:left="1204" w:right="965"/>
      </w:pPr>
      <w:r>
        <w:rPr>
          <w:w w:val="105"/>
          <w:shd w:fill="FFFF00" w:color="auto" w:val="clear"/>
        </w:rPr>
        <w:t>By design, Kingsman academy serves students who are overaged and under-credited,</w:t>
      </w:r>
      <w:r>
        <w:rPr>
          <w:w w:val="105"/>
        </w:rPr>
        <w:t> </w:t>
      </w:r>
      <w:r>
        <w:rPr>
          <w:w w:val="105"/>
          <w:shd w:fill="FFFF00" w:color="auto" w:val="clear"/>
        </w:rPr>
        <w:t>require intensive specialized learning and behavior supports, and students at risk for</w:t>
      </w:r>
      <w:r>
        <w:rPr>
          <w:w w:val="105"/>
        </w:rPr>
        <w:t> </w:t>
      </w:r>
      <w:r>
        <w:rPr>
          <w:w w:val="105"/>
          <w:shd w:fill="FFFF00" w:color="auto" w:val="clear"/>
        </w:rPr>
        <w:t>dropping out of school due to attendance. The proposed goals and expectations charter</w:t>
      </w:r>
      <w:r>
        <w:rPr>
          <w:w w:val="105"/>
        </w:rPr>
        <w:t> </w:t>
      </w:r>
      <w:r>
        <w:rPr>
          <w:w w:val="105"/>
          <w:shd w:fill="FFFF00" w:color="auto" w:val="clear"/>
        </w:rPr>
        <w:t>amendment will allow the school to adopt goals specific to our mission, recently</w:t>
      </w:r>
      <w:r>
        <w:rPr>
          <w:w w:val="105"/>
        </w:rPr>
        <w:t> </w:t>
      </w:r>
      <w:r>
        <w:rPr>
          <w:w w:val="105"/>
          <w:shd w:fill="FFFF00" w:color="auto" w:val="clear"/>
        </w:rPr>
        <w:t>approved competency-based academic program, and revised DC Public Charter School</w:t>
      </w:r>
      <w:r>
        <w:rPr>
          <w:w w:val="105"/>
        </w:rPr>
        <w:t> </w:t>
      </w:r>
      <w:r>
        <w:rPr>
          <w:w w:val="105"/>
          <w:shd w:fill="FFFF00" w:color="auto" w:val="clear"/>
        </w:rPr>
        <w:t>Board Alternative Accountability Framework.</w:t>
      </w:r>
    </w:p>
    <w:p>
      <w:pPr>
        <w:pStyle w:val="BodyText"/>
        <w:spacing w:before="2"/>
        <w:rPr>
          <w:sz w:val="20"/>
        </w:rPr>
      </w:pPr>
    </w:p>
    <w:p>
      <w:pPr>
        <w:pStyle w:val="ListParagraph"/>
        <w:numPr>
          <w:ilvl w:val="0"/>
          <w:numId w:val="2"/>
        </w:numPr>
        <w:tabs>
          <w:tab w:pos="1205" w:val="left" w:leader="none"/>
        </w:tabs>
        <w:spacing w:line="252" w:lineRule="auto" w:before="0" w:after="0"/>
        <w:ind w:left="1204" w:right="868" w:hanging="360"/>
        <w:jc w:val="left"/>
        <w:rPr>
          <w:sz w:val="19"/>
        </w:rPr>
      </w:pPr>
      <w:r>
        <w:rPr>
          <w:w w:val="105"/>
          <w:sz w:val="19"/>
        </w:rPr>
        <w:t>While considering this amendment request, DC PCSB staff may review the school’s history of board actions, DC PCSB audits, community complaints, enrollment trends, and any relevant data used by DC PCSB to monitor equity in schools. Please describe any DC PCSB audits, notices of concern or other board actions issued against your school in the past 3 years. What was the outcome? Please explain what steps, if any, you’ve taken to address the concerns that prompted a DC PCSB audit, board action, or community complaint.</w:t>
      </w:r>
    </w:p>
    <w:p>
      <w:pPr>
        <w:pStyle w:val="BodyText"/>
        <w:spacing w:before="122"/>
        <w:ind w:left="1204"/>
      </w:pPr>
      <w:r>
        <w:rPr>
          <w:w w:val="105"/>
          <w:shd w:fill="FFFF00" w:color="auto" w:val="clear"/>
        </w:rPr>
        <w:t>N/A</w:t>
      </w:r>
    </w:p>
    <w:p>
      <w:pPr>
        <w:pStyle w:val="BodyText"/>
        <w:spacing w:before="10"/>
        <w:rPr>
          <w:sz w:val="20"/>
        </w:rPr>
      </w:pPr>
    </w:p>
    <w:p>
      <w:pPr>
        <w:pStyle w:val="ListParagraph"/>
        <w:numPr>
          <w:ilvl w:val="0"/>
          <w:numId w:val="2"/>
        </w:numPr>
        <w:tabs>
          <w:tab w:pos="1205" w:val="left" w:leader="none"/>
        </w:tabs>
        <w:spacing w:line="252" w:lineRule="auto" w:before="1" w:after="0"/>
        <w:ind w:left="1204" w:right="881" w:hanging="360"/>
        <w:jc w:val="left"/>
        <w:rPr>
          <w:i/>
          <w:sz w:val="19"/>
        </w:rPr>
      </w:pPr>
      <w:r>
        <w:rPr>
          <w:w w:val="105"/>
          <w:sz w:val="19"/>
        </w:rPr>
        <w:t>DC PCSB will review the school’s Financial Audit Reviews (FAR) and current financials to determine the fiscal health of the organization. If applicable, describe how the proposed amendment will impact the school’s finances. Explain any anticipated expenses for the proposed changes and how the school will finance them. </w:t>
      </w:r>
      <w:r>
        <w:rPr>
          <w:i/>
          <w:w w:val="105"/>
          <w:sz w:val="19"/>
        </w:rPr>
        <w:t>[EXCLUDES the following amendments: Governance, Goals, Mission, Curriculum, Name Changes and Graduation Requirements. If not applicable, write</w:t>
      </w:r>
      <w:r>
        <w:rPr>
          <w:i/>
          <w:spacing w:val="3"/>
          <w:w w:val="105"/>
          <w:sz w:val="19"/>
        </w:rPr>
        <w:t> </w:t>
      </w:r>
      <w:r>
        <w:rPr>
          <w:i/>
          <w:w w:val="105"/>
          <w:sz w:val="19"/>
        </w:rPr>
        <w:t>N/A.]</w:t>
      </w:r>
    </w:p>
    <w:p>
      <w:pPr>
        <w:spacing w:line="249" w:lineRule="auto" w:before="124"/>
        <w:ind w:left="1204" w:right="843" w:firstLine="0"/>
        <w:jc w:val="left"/>
        <w:rPr>
          <w:i/>
          <w:sz w:val="19"/>
        </w:rPr>
      </w:pPr>
      <w:r>
        <w:rPr>
          <w:rFonts w:ascii="Verdana-BoldItalic"/>
          <w:b/>
          <w:i/>
          <w:w w:val="105"/>
          <w:sz w:val="19"/>
        </w:rPr>
        <w:t>Note</w:t>
      </w:r>
      <w:r>
        <w:rPr>
          <w:i/>
          <w:w w:val="105"/>
          <w:sz w:val="19"/>
        </w:rPr>
        <w:t>: If applicable, in addition to your narrative please attach a proposed </w:t>
      </w:r>
      <w:r>
        <w:rPr>
          <w:i/>
          <w:color w:val="0563C1"/>
          <w:w w:val="105"/>
          <w:sz w:val="19"/>
          <w:u w:val="single" w:color="0563C1"/>
        </w:rPr>
        <w:t>5-year</w:t>
      </w:r>
      <w:r>
        <w:rPr>
          <w:i/>
          <w:color w:val="0563C1"/>
          <w:w w:val="105"/>
          <w:sz w:val="19"/>
        </w:rPr>
        <w:t> </w:t>
      </w:r>
      <w:r>
        <w:rPr>
          <w:i/>
          <w:color w:val="0563C1"/>
          <w:w w:val="105"/>
          <w:sz w:val="19"/>
          <w:u w:val="single" w:color="0563C1"/>
        </w:rPr>
        <w:t>Operating Budget</w:t>
      </w:r>
      <w:r>
        <w:rPr>
          <w:i/>
          <w:w w:val="105"/>
          <w:sz w:val="19"/>
        </w:rPr>
        <w:t>.</w:t>
      </w:r>
    </w:p>
    <w:p>
      <w:pPr>
        <w:pStyle w:val="BodyText"/>
        <w:spacing w:before="125"/>
        <w:ind w:left="1204"/>
      </w:pPr>
      <w:r>
        <w:rPr>
          <w:w w:val="105"/>
          <w:shd w:fill="FFFF00" w:color="auto" w:val="clear"/>
        </w:rPr>
        <w:t>N/A</w:t>
      </w:r>
    </w:p>
    <w:p>
      <w:pPr>
        <w:pStyle w:val="BodyText"/>
        <w:spacing w:before="10"/>
        <w:rPr>
          <w:sz w:val="20"/>
        </w:rPr>
      </w:pPr>
    </w:p>
    <w:p>
      <w:pPr>
        <w:pStyle w:val="ListParagraph"/>
        <w:numPr>
          <w:ilvl w:val="0"/>
          <w:numId w:val="2"/>
        </w:numPr>
        <w:tabs>
          <w:tab w:pos="1205" w:val="left" w:leader="none"/>
        </w:tabs>
        <w:spacing w:line="249" w:lineRule="auto" w:before="0" w:after="0"/>
        <w:ind w:left="1204" w:right="1783" w:hanging="360"/>
        <w:jc w:val="left"/>
        <w:rPr>
          <w:sz w:val="19"/>
        </w:rPr>
      </w:pPr>
      <w:r>
        <w:rPr>
          <w:w w:val="105"/>
          <w:sz w:val="19"/>
        </w:rPr>
        <w:t>How has the school informed its external stakeholders (e.g. local ANC commissioners, neighbors) and internal stakeholders (e.g. staff, parents) of</w:t>
      </w:r>
      <w:r>
        <w:rPr>
          <w:spacing w:val="-15"/>
          <w:w w:val="105"/>
          <w:sz w:val="19"/>
        </w:rPr>
        <w:t> </w:t>
      </w:r>
      <w:r>
        <w:rPr>
          <w:w w:val="105"/>
          <w:sz w:val="19"/>
        </w:rPr>
        <w:t>the</w:t>
      </w:r>
    </w:p>
    <w:p>
      <w:pPr>
        <w:pStyle w:val="BodyText"/>
        <w:spacing w:before="10"/>
        <w:rPr>
          <w:sz w:val="28"/>
        </w:rPr>
      </w:pPr>
    </w:p>
    <w:p>
      <w:pPr>
        <w:pStyle w:val="BodyText"/>
        <w:spacing w:before="109"/>
        <w:ind w:right="834"/>
        <w:jc w:val="right"/>
        <w:rPr>
          <w:rFonts w:ascii="Arial"/>
        </w:rPr>
      </w:pPr>
      <w:r>
        <w:rPr>
          <w:rFonts w:ascii="Arial"/>
          <w:w w:val="94"/>
        </w:rPr>
        <w:t>2</w:t>
      </w:r>
    </w:p>
    <w:p>
      <w:pPr>
        <w:spacing w:after="0"/>
        <w:jc w:val="right"/>
        <w:rPr>
          <w:rFonts w:ascii="Arial"/>
        </w:rPr>
        <w:sectPr>
          <w:headerReference w:type="default" r:id="rId8"/>
          <w:pgSz w:w="12240" w:h="15840"/>
          <w:pgMar w:header="659" w:footer="0" w:top="1400" w:bottom="280" w:left="600" w:right="600"/>
        </w:sectPr>
      </w:pPr>
    </w:p>
    <w:p>
      <w:pPr>
        <w:spacing w:line="252" w:lineRule="auto" w:before="38"/>
        <w:ind w:left="1204" w:right="1569" w:firstLine="0"/>
        <w:jc w:val="left"/>
        <w:rPr>
          <w:i/>
          <w:sz w:val="19"/>
        </w:rPr>
      </w:pPr>
      <w:r>
        <w:rPr>
          <w:w w:val="105"/>
          <w:sz w:val="19"/>
        </w:rPr>
        <w:t>proposed amendment(s)?  Please attach any written communication (e.g., meeting minutes). Describe any notable support for or opposition to the proposed amendment(s). If concerns have been brought to your attention, how do you  plan to address them? </w:t>
      </w:r>
      <w:r>
        <w:rPr>
          <w:i/>
          <w:w w:val="105"/>
          <w:sz w:val="19"/>
        </w:rPr>
        <w:t>[EXCLUDES the following amendments: Governance,  Goals, Mission, Curriculum, Graduation Requirements and Competency-Based Learning Credits. If not applicable, write</w:t>
      </w:r>
      <w:r>
        <w:rPr>
          <w:i/>
          <w:spacing w:val="3"/>
          <w:w w:val="105"/>
          <w:sz w:val="19"/>
        </w:rPr>
        <w:t> </w:t>
      </w:r>
      <w:r>
        <w:rPr>
          <w:i/>
          <w:w w:val="105"/>
          <w:sz w:val="19"/>
        </w:rPr>
        <w:t>N/A.]</w:t>
      </w:r>
    </w:p>
    <w:p>
      <w:pPr>
        <w:pStyle w:val="BodyText"/>
        <w:spacing w:before="4"/>
        <w:rPr>
          <w:i/>
          <w:sz w:val="11"/>
        </w:rPr>
      </w:pPr>
    </w:p>
    <w:p>
      <w:pPr>
        <w:pStyle w:val="BodyText"/>
        <w:spacing w:before="107"/>
        <w:ind w:left="1204"/>
      </w:pPr>
      <w:r>
        <w:rPr>
          <w:w w:val="105"/>
          <w:shd w:fill="FFFF00" w:color="auto" w:val="clear"/>
        </w:rPr>
        <w:t>N/A</w:t>
      </w:r>
    </w:p>
    <w:p>
      <w:pPr>
        <w:pStyle w:val="BodyText"/>
        <w:rPr>
          <w:sz w:val="24"/>
        </w:rPr>
      </w:pPr>
    </w:p>
    <w:p>
      <w:pPr>
        <w:pStyle w:val="BodyText"/>
        <w:spacing w:before="11"/>
        <w:rPr>
          <w:sz w:val="28"/>
        </w:rPr>
      </w:pPr>
    </w:p>
    <w:p>
      <w:pPr>
        <w:pStyle w:val="ListParagraph"/>
        <w:numPr>
          <w:ilvl w:val="0"/>
          <w:numId w:val="2"/>
        </w:numPr>
        <w:tabs>
          <w:tab w:pos="1205" w:val="left" w:leader="none"/>
        </w:tabs>
        <w:spacing w:line="249" w:lineRule="auto" w:before="0" w:after="0"/>
        <w:ind w:left="1204" w:right="1440" w:hanging="360"/>
        <w:jc w:val="left"/>
        <w:rPr>
          <w:sz w:val="19"/>
        </w:rPr>
      </w:pPr>
      <w:r>
        <w:rPr>
          <w:w w:val="105"/>
          <w:sz w:val="19"/>
        </w:rPr>
        <w:t>When did your school’s board approve the proposed amendment(s)? Please attach minutes from the meeting and vote</w:t>
      </w:r>
      <w:r>
        <w:rPr>
          <w:spacing w:val="9"/>
          <w:w w:val="105"/>
          <w:sz w:val="19"/>
        </w:rPr>
        <w:t> </w:t>
      </w:r>
      <w:r>
        <w:rPr>
          <w:w w:val="105"/>
          <w:sz w:val="19"/>
        </w:rPr>
        <w:t>results.</w:t>
      </w:r>
    </w:p>
    <w:p>
      <w:pPr>
        <w:pStyle w:val="BodyText"/>
        <w:spacing w:before="4"/>
        <w:rPr>
          <w:sz w:val="11"/>
        </w:rPr>
      </w:pPr>
    </w:p>
    <w:p>
      <w:pPr>
        <w:pStyle w:val="BodyText"/>
        <w:spacing w:line="252" w:lineRule="auto" w:before="107"/>
        <w:ind w:left="1204" w:right="843"/>
      </w:pPr>
      <w:r>
        <w:rPr>
          <w:w w:val="105"/>
          <w:shd w:fill="FFFF00" w:color="auto" w:val="clear"/>
        </w:rPr>
        <w:t>The school’s board has discussed the proposed amendment and voted on the proposed</w:t>
      </w:r>
      <w:r>
        <w:rPr>
          <w:w w:val="105"/>
        </w:rPr>
        <w:t> </w:t>
      </w:r>
      <w:r>
        <w:rPr>
          <w:w w:val="105"/>
          <w:shd w:fill="FFFF00" w:color="auto" w:val="clear"/>
        </w:rPr>
        <w:t>amendment at the July 2020 board meeting. Board meeting minutes will be approved at</w:t>
      </w:r>
      <w:r>
        <w:rPr>
          <w:w w:val="105"/>
        </w:rPr>
        <w:t> </w:t>
      </w:r>
      <w:r>
        <w:rPr>
          <w:w w:val="105"/>
          <w:shd w:fill="FFFF00" w:color="auto" w:val="clear"/>
        </w:rPr>
        <w:t>the next meeting and will be provided at that time</w:t>
      </w:r>
      <w:r>
        <w:rPr>
          <w:w w:val="105"/>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pStyle w:val="BodyText"/>
        <w:spacing w:before="109"/>
        <w:ind w:right="834"/>
        <w:jc w:val="right"/>
        <w:rPr>
          <w:rFonts w:ascii="Arial"/>
        </w:rPr>
      </w:pPr>
      <w:r>
        <w:rPr>
          <w:rFonts w:ascii="Arial"/>
          <w:w w:val="94"/>
        </w:rPr>
        <w:t>3</w:t>
      </w:r>
    </w:p>
    <w:p>
      <w:pPr>
        <w:spacing w:after="0"/>
        <w:jc w:val="right"/>
        <w:rPr>
          <w:rFonts w:ascii="Arial"/>
        </w:rPr>
        <w:sectPr>
          <w:pgSz w:w="12240" w:h="15840"/>
          <w:pgMar w:header="659" w:footer="0" w:top="1400" w:bottom="280" w:left="600" w:right="600"/>
        </w:sectPr>
      </w:pPr>
    </w:p>
    <w:p>
      <w:pPr>
        <w:pStyle w:val="BodyText"/>
        <w:spacing w:before="9"/>
        <w:rPr>
          <w:rFonts w:ascii="Arial"/>
          <w:sz w:val="17"/>
        </w:rPr>
      </w:pPr>
    </w:p>
    <w:p>
      <w:pPr>
        <w:tabs>
          <w:tab w:pos="3724" w:val="left" w:leader="none"/>
        </w:tabs>
        <w:spacing w:before="107"/>
        <w:ind w:left="844" w:right="0" w:firstLine="0"/>
        <w:jc w:val="left"/>
        <w:rPr>
          <w:b/>
          <w:sz w:val="21"/>
        </w:rPr>
      </w:pPr>
      <w:r>
        <w:rPr/>
        <w:pict>
          <v:rect style="position:absolute;margin-left:70.805702pt;margin-top:19.266489pt;width:470.88pt;height:1.4399pt;mso-position-horizontal-relative:page;mso-position-vertical-relative:paragraph;z-index:-15718912;mso-wrap-distance-left:0;mso-wrap-distance-right:0" filled="true" fillcolor="#000000" stroked="false">
            <v:fill type="solid"/>
            <w10:wrap type="topAndBottom"/>
          </v:rect>
        </w:pict>
      </w:r>
      <w:bookmarkStart w:name="Section B1-Goals and Achievement Expecta" w:id="2"/>
      <w:bookmarkEnd w:id="2"/>
      <w:r>
        <w:rPr/>
      </w:r>
      <w:r>
        <w:rPr>
          <w:b/>
          <w:w w:val="105"/>
          <w:sz w:val="21"/>
        </w:rPr>
        <w:t>Section</w:t>
      </w:r>
      <w:r>
        <w:rPr>
          <w:b/>
          <w:spacing w:val="-3"/>
          <w:w w:val="105"/>
          <w:sz w:val="21"/>
        </w:rPr>
        <w:t> </w:t>
      </w:r>
      <w:r>
        <w:rPr>
          <w:b/>
          <w:w w:val="105"/>
          <w:sz w:val="21"/>
        </w:rPr>
        <w:t>B1.</w:t>
        <w:tab/>
      </w:r>
      <w:r>
        <w:rPr>
          <w:b/>
          <w:w w:val="105"/>
          <w:sz w:val="21"/>
          <w:shd w:fill="FFFF00" w:color="auto" w:val="clear"/>
        </w:rPr>
        <w:t>Goals and Achievement</w:t>
      </w:r>
      <w:r>
        <w:rPr>
          <w:b/>
          <w:spacing w:val="3"/>
          <w:w w:val="105"/>
          <w:sz w:val="21"/>
          <w:shd w:fill="FFFF00" w:color="auto" w:val="clear"/>
        </w:rPr>
        <w:t> </w:t>
      </w:r>
      <w:r>
        <w:rPr>
          <w:b/>
          <w:w w:val="105"/>
          <w:sz w:val="21"/>
          <w:shd w:fill="FFFF00" w:color="auto" w:val="clear"/>
        </w:rPr>
        <w:t>Expectations</w:t>
      </w:r>
    </w:p>
    <w:p>
      <w:pPr>
        <w:spacing w:before="39"/>
        <w:ind w:left="1027" w:right="0" w:firstLine="0"/>
        <w:jc w:val="left"/>
        <w:rPr>
          <w:b/>
          <w:sz w:val="18"/>
        </w:rPr>
      </w:pPr>
      <w:r>
        <w:rPr>
          <w:b/>
          <w:w w:val="105"/>
          <w:sz w:val="18"/>
        </w:rPr>
        <w:t>*ONLY complete this section if applying to amend Goals/Achievement Expectations.</w:t>
      </w:r>
    </w:p>
    <w:p>
      <w:pPr>
        <w:pStyle w:val="BodyText"/>
        <w:spacing w:before="3"/>
        <w:rPr>
          <w:b/>
          <w:sz w:val="20"/>
        </w:rPr>
      </w:pPr>
    </w:p>
    <w:p>
      <w:pPr>
        <w:spacing w:line="254" w:lineRule="auto" w:before="1"/>
        <w:ind w:left="844" w:right="1427" w:firstLine="0"/>
        <w:jc w:val="left"/>
        <w:rPr>
          <w:sz w:val="19"/>
        </w:rPr>
      </w:pPr>
      <w:r>
        <w:rPr>
          <w:i/>
          <w:w w:val="105"/>
          <w:sz w:val="19"/>
        </w:rPr>
        <w:t>To adopt the Performance Management Framework (PMF) as the school’s goals and academic achievement expectations, please review the </w:t>
      </w:r>
      <w:r>
        <w:rPr>
          <w:i/>
          <w:color w:val="0563C1"/>
          <w:w w:val="105"/>
          <w:sz w:val="19"/>
          <w:u w:val="single" w:color="0563C1"/>
        </w:rPr>
        <w:t>policy</w:t>
      </w:r>
      <w:r>
        <w:rPr>
          <w:w w:val="105"/>
          <w:sz w:val="19"/>
        </w:rPr>
        <w:t>.</w:t>
      </w:r>
    </w:p>
    <w:p>
      <w:pPr>
        <w:pStyle w:val="BodyText"/>
        <w:spacing w:before="11"/>
        <w:rPr>
          <w:sz w:val="10"/>
        </w:rPr>
      </w:pPr>
    </w:p>
    <w:p>
      <w:pPr>
        <w:spacing w:line="252" w:lineRule="auto" w:before="107"/>
        <w:ind w:left="844" w:right="837" w:firstLine="0"/>
        <w:jc w:val="left"/>
        <w:rPr>
          <w:i/>
          <w:sz w:val="19"/>
        </w:rPr>
      </w:pPr>
      <w:r>
        <w:rPr>
          <w:i/>
          <w:w w:val="105"/>
          <w:sz w:val="19"/>
        </w:rPr>
        <w:t>Schools should revise their goals and student academic achievement expectations if at its 5- or 10- year review it finds that it has goals that are “not historically measured;” or if the school’s leadership, including its board, determines that the current set of charter goals do not accurately reflect the school’s mission and education philosophy for student achievement; or when a school has more than five goals and wishes to reduce its reporting burden. Charter schools may revise goals and academic achievement expectations up to one year prior to a high-stakes review and two years prior to charter renewal. Revisions are generally approved if the school successfully shows that the new goals and academic achievement expectations are:</w:t>
      </w:r>
    </w:p>
    <w:p>
      <w:pPr>
        <w:pStyle w:val="BodyText"/>
        <w:spacing w:before="8"/>
        <w:rPr>
          <w:i/>
          <w:sz w:val="20"/>
        </w:rPr>
      </w:pPr>
    </w:p>
    <w:p>
      <w:pPr>
        <w:pStyle w:val="ListParagraph"/>
        <w:numPr>
          <w:ilvl w:val="1"/>
          <w:numId w:val="2"/>
        </w:numPr>
        <w:tabs>
          <w:tab w:pos="1565" w:val="left" w:leader="none"/>
        </w:tabs>
        <w:spacing w:line="240" w:lineRule="auto" w:before="1" w:after="0"/>
        <w:ind w:left="1564" w:right="0" w:hanging="361"/>
        <w:jc w:val="left"/>
        <w:rPr>
          <w:i/>
          <w:sz w:val="19"/>
        </w:rPr>
      </w:pPr>
      <w:r>
        <w:rPr>
          <w:i/>
          <w:w w:val="105"/>
          <w:sz w:val="19"/>
        </w:rPr>
        <w:t>SMART – Specific, Measurable, Achievable, Realistic and</w:t>
      </w:r>
      <w:r>
        <w:rPr>
          <w:i/>
          <w:spacing w:val="4"/>
          <w:w w:val="105"/>
          <w:sz w:val="19"/>
        </w:rPr>
        <w:t> </w:t>
      </w:r>
      <w:r>
        <w:rPr>
          <w:i/>
          <w:w w:val="105"/>
          <w:sz w:val="19"/>
        </w:rPr>
        <w:t>Timely</w:t>
      </w:r>
    </w:p>
    <w:p>
      <w:pPr>
        <w:pStyle w:val="ListParagraph"/>
        <w:numPr>
          <w:ilvl w:val="1"/>
          <w:numId w:val="2"/>
        </w:numPr>
        <w:tabs>
          <w:tab w:pos="1565" w:val="left" w:leader="none"/>
        </w:tabs>
        <w:spacing w:line="240" w:lineRule="auto" w:before="9" w:after="0"/>
        <w:ind w:left="1564" w:right="0" w:hanging="361"/>
        <w:jc w:val="left"/>
        <w:rPr>
          <w:i/>
          <w:sz w:val="19"/>
        </w:rPr>
      </w:pPr>
      <w:r>
        <w:rPr>
          <w:i/>
          <w:w w:val="105"/>
          <w:sz w:val="19"/>
        </w:rPr>
        <w:t>Appropriately</w:t>
      </w:r>
      <w:r>
        <w:rPr>
          <w:i/>
          <w:spacing w:val="1"/>
          <w:w w:val="105"/>
          <w:sz w:val="19"/>
        </w:rPr>
        <w:t> </w:t>
      </w:r>
      <w:r>
        <w:rPr>
          <w:i/>
          <w:w w:val="105"/>
          <w:sz w:val="19"/>
        </w:rPr>
        <w:t>challenging.</w:t>
      </w:r>
    </w:p>
    <w:p>
      <w:pPr>
        <w:pStyle w:val="ListParagraph"/>
        <w:numPr>
          <w:ilvl w:val="1"/>
          <w:numId w:val="2"/>
        </w:numPr>
        <w:tabs>
          <w:tab w:pos="1565" w:val="left" w:leader="none"/>
        </w:tabs>
        <w:spacing w:line="252" w:lineRule="auto" w:before="14" w:after="0"/>
        <w:ind w:left="1564" w:right="1007" w:hanging="360"/>
        <w:jc w:val="left"/>
        <w:rPr>
          <w:i/>
          <w:sz w:val="19"/>
        </w:rPr>
      </w:pPr>
      <w:r>
        <w:rPr>
          <w:i/>
          <w:w w:val="105"/>
          <w:sz w:val="19"/>
        </w:rPr>
        <w:t>Measure student academic performance in at least English Language Arts (ELA) and math, using the state assessment, if applicable, and expect students to achieve above the city average for similar</w:t>
      </w:r>
      <w:r>
        <w:rPr>
          <w:i/>
          <w:spacing w:val="5"/>
          <w:w w:val="105"/>
          <w:sz w:val="19"/>
        </w:rPr>
        <w:t> </w:t>
      </w:r>
      <w:r>
        <w:rPr>
          <w:i/>
          <w:w w:val="105"/>
          <w:sz w:val="19"/>
        </w:rPr>
        <w:t>populations.</w:t>
      </w:r>
    </w:p>
    <w:p>
      <w:pPr>
        <w:pStyle w:val="ListParagraph"/>
        <w:numPr>
          <w:ilvl w:val="1"/>
          <w:numId w:val="2"/>
        </w:numPr>
        <w:tabs>
          <w:tab w:pos="1565" w:val="left" w:leader="none"/>
        </w:tabs>
        <w:spacing w:line="254" w:lineRule="auto" w:before="2" w:after="0"/>
        <w:ind w:left="1564" w:right="1066" w:hanging="360"/>
        <w:jc w:val="left"/>
        <w:rPr>
          <w:i/>
          <w:sz w:val="19"/>
        </w:rPr>
      </w:pPr>
      <w:r>
        <w:rPr>
          <w:i/>
          <w:w w:val="105"/>
          <w:sz w:val="19"/>
        </w:rPr>
        <w:t>At least one goal should directly measure the extent to which the school is meeting its</w:t>
      </w:r>
      <w:r>
        <w:rPr>
          <w:i/>
          <w:spacing w:val="1"/>
          <w:w w:val="105"/>
          <w:sz w:val="19"/>
        </w:rPr>
        <w:t> </w:t>
      </w:r>
      <w:r>
        <w:rPr>
          <w:i/>
          <w:w w:val="105"/>
          <w:sz w:val="19"/>
        </w:rPr>
        <w:t>mission.</w:t>
      </w:r>
    </w:p>
    <w:p>
      <w:pPr>
        <w:spacing w:line="254" w:lineRule="auto" w:before="115"/>
        <w:ind w:left="844" w:right="843" w:firstLine="0"/>
        <w:jc w:val="left"/>
        <w:rPr>
          <w:rFonts w:ascii="Verdana-BoldItalic"/>
          <w:b/>
          <w:i/>
          <w:sz w:val="19"/>
        </w:rPr>
      </w:pPr>
      <w:r>
        <w:rPr>
          <w:rFonts w:ascii="Verdana-BoldItalic"/>
          <w:b/>
          <w:i/>
          <w:w w:val="105"/>
          <w:sz w:val="19"/>
        </w:rPr>
        <w:t>Note: DC PCSB does not typically accept school-issued grades as a means for measuring student</w:t>
      </w:r>
      <w:r>
        <w:rPr>
          <w:rFonts w:ascii="Verdana-BoldItalic"/>
          <w:b/>
          <w:i/>
          <w:spacing w:val="2"/>
          <w:w w:val="105"/>
          <w:sz w:val="19"/>
        </w:rPr>
        <w:t> </w:t>
      </w:r>
      <w:r>
        <w:rPr>
          <w:rFonts w:ascii="Verdana-BoldItalic"/>
          <w:b/>
          <w:i/>
          <w:w w:val="105"/>
          <w:sz w:val="19"/>
        </w:rPr>
        <w:t>achievement.</w:t>
      </w:r>
    </w:p>
    <w:p>
      <w:pPr>
        <w:pStyle w:val="BodyText"/>
        <w:spacing w:before="7"/>
        <w:rPr>
          <w:rFonts w:ascii="Verdana-BoldItalic"/>
          <w:b/>
          <w:i/>
          <w:sz w:val="29"/>
        </w:rPr>
      </w:pPr>
    </w:p>
    <w:p>
      <w:pPr>
        <w:pStyle w:val="ListParagraph"/>
        <w:numPr>
          <w:ilvl w:val="0"/>
          <w:numId w:val="3"/>
        </w:numPr>
        <w:tabs>
          <w:tab w:pos="1205" w:val="left" w:leader="none"/>
        </w:tabs>
        <w:spacing w:line="252" w:lineRule="auto" w:before="1" w:after="0"/>
        <w:ind w:left="1204" w:right="1052" w:hanging="360"/>
        <w:jc w:val="left"/>
        <w:rPr>
          <w:sz w:val="19"/>
        </w:rPr>
      </w:pPr>
      <w:r>
        <w:rPr>
          <w:w w:val="105"/>
          <w:sz w:val="19"/>
        </w:rPr>
        <w:t>What are the school’s current goals and student academic achievement expectations? What are the new goals and academic achievement expectations? If not all goals are changing, please make it clear which are being deleted or replaced and which are</w:t>
      </w:r>
      <w:r>
        <w:rPr>
          <w:spacing w:val="-19"/>
          <w:w w:val="105"/>
          <w:sz w:val="19"/>
        </w:rPr>
        <w:t> </w:t>
      </w:r>
      <w:r>
        <w:rPr>
          <w:w w:val="105"/>
          <w:sz w:val="19"/>
        </w:rPr>
        <w:t>new.</w:t>
      </w:r>
    </w:p>
    <w:p>
      <w:pPr>
        <w:pStyle w:val="BodyText"/>
        <w:rPr>
          <w:sz w:val="20"/>
        </w:rPr>
      </w:pPr>
    </w:p>
    <w:p>
      <w:pPr>
        <w:pStyle w:val="BodyText"/>
        <w:spacing w:before="5"/>
        <w:rPr>
          <w:sz w:val="14"/>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0"/>
      </w:tblGrid>
      <w:tr>
        <w:trPr>
          <w:trHeight w:val="230" w:hRule="atLeast"/>
        </w:trPr>
        <w:tc>
          <w:tcPr>
            <w:tcW w:w="9590" w:type="dxa"/>
          </w:tcPr>
          <w:p>
            <w:pPr>
              <w:pStyle w:val="TableParagraph"/>
              <w:spacing w:line="206" w:lineRule="exact" w:before="4"/>
              <w:ind w:left="2302" w:right="2293"/>
              <w:jc w:val="center"/>
              <w:rPr>
                <w:rFonts w:ascii="Arial"/>
                <w:b/>
                <w:sz w:val="19"/>
              </w:rPr>
            </w:pPr>
            <w:r>
              <w:rPr>
                <w:rFonts w:ascii="Arial"/>
                <w:b/>
                <w:w w:val="105"/>
                <w:sz w:val="19"/>
              </w:rPr>
              <w:t>Current Goals and Academic Expectations (Deleted)</w:t>
            </w:r>
          </w:p>
        </w:tc>
      </w:tr>
      <w:tr>
        <w:trPr>
          <w:trHeight w:val="1166" w:hRule="atLeast"/>
        </w:trPr>
        <w:tc>
          <w:tcPr>
            <w:tcW w:w="9590" w:type="dxa"/>
          </w:tcPr>
          <w:p>
            <w:pPr>
              <w:pStyle w:val="TableParagraph"/>
              <w:spacing w:before="4"/>
              <w:ind w:left="115"/>
              <w:rPr>
                <w:rFonts w:ascii="Arial"/>
                <w:b/>
                <w:sz w:val="19"/>
              </w:rPr>
            </w:pPr>
            <w:r>
              <w:rPr>
                <w:rFonts w:ascii="Arial"/>
                <w:b/>
                <w:w w:val="105"/>
                <w:sz w:val="19"/>
              </w:rPr>
              <w:t>Academic Achievement</w:t>
            </w:r>
          </w:p>
          <w:p>
            <w:pPr>
              <w:pStyle w:val="TableParagraph"/>
              <w:spacing w:before="11"/>
              <w:rPr>
                <w:rFonts w:ascii="Verdana"/>
                <w:sz w:val="19"/>
              </w:rPr>
            </w:pPr>
          </w:p>
          <w:p>
            <w:pPr>
              <w:pStyle w:val="TableParagraph"/>
              <w:numPr>
                <w:ilvl w:val="0"/>
                <w:numId w:val="4"/>
              </w:numPr>
              <w:tabs>
                <w:tab w:pos="835" w:val="left" w:leader="none"/>
              </w:tabs>
              <w:spacing w:line="240" w:lineRule="auto" w:before="0" w:after="0"/>
              <w:ind w:left="835" w:right="0" w:hanging="360"/>
              <w:jc w:val="left"/>
              <w:rPr>
                <w:rFonts w:ascii="Arial"/>
                <w:sz w:val="19"/>
              </w:rPr>
            </w:pPr>
            <w:r>
              <w:rPr>
                <w:rFonts w:ascii="Arial"/>
                <w:w w:val="105"/>
                <w:sz w:val="19"/>
              </w:rPr>
              <w:t>Students will demonstrate grade-level knowledge and skills in Math [PARCC: Math</w:t>
            </w:r>
            <w:r>
              <w:rPr>
                <w:rFonts w:ascii="Arial"/>
                <w:spacing w:val="-2"/>
                <w:w w:val="105"/>
                <w:sz w:val="19"/>
              </w:rPr>
              <w:t> </w:t>
            </w:r>
            <w:r>
              <w:rPr>
                <w:rFonts w:ascii="Arial"/>
                <w:w w:val="105"/>
                <w:sz w:val="19"/>
              </w:rPr>
              <w:t>%3+]</w:t>
            </w:r>
          </w:p>
          <w:p>
            <w:pPr>
              <w:pStyle w:val="TableParagraph"/>
              <w:numPr>
                <w:ilvl w:val="0"/>
                <w:numId w:val="4"/>
              </w:numPr>
              <w:tabs>
                <w:tab w:pos="835" w:val="left" w:leader="none"/>
              </w:tabs>
              <w:spacing w:line="230" w:lineRule="atLeast" w:before="0" w:after="0"/>
              <w:ind w:left="835" w:right="441" w:hanging="360"/>
              <w:jc w:val="left"/>
              <w:rPr>
                <w:rFonts w:ascii="Arial"/>
                <w:sz w:val="19"/>
              </w:rPr>
            </w:pPr>
            <w:r>
              <w:rPr>
                <w:rFonts w:ascii="Arial"/>
                <w:w w:val="105"/>
                <w:sz w:val="19"/>
              </w:rPr>
              <w:t>Students will demonstrate grade-level knowledge and skills in Reading/English Language Arts [PARCC: ELA</w:t>
            </w:r>
            <w:r>
              <w:rPr>
                <w:rFonts w:ascii="Arial"/>
                <w:spacing w:val="2"/>
                <w:w w:val="105"/>
                <w:sz w:val="19"/>
              </w:rPr>
              <w:t> </w:t>
            </w:r>
            <w:r>
              <w:rPr>
                <w:rFonts w:ascii="Arial"/>
                <w:w w:val="105"/>
                <w:sz w:val="19"/>
              </w:rPr>
              <w:t>%3+]</w:t>
            </w:r>
          </w:p>
        </w:tc>
      </w:tr>
      <w:tr>
        <w:trPr>
          <w:trHeight w:val="1165" w:hRule="atLeast"/>
        </w:trPr>
        <w:tc>
          <w:tcPr>
            <w:tcW w:w="9590" w:type="dxa"/>
          </w:tcPr>
          <w:p>
            <w:pPr>
              <w:pStyle w:val="TableParagraph"/>
              <w:spacing w:before="4"/>
              <w:ind w:left="115"/>
              <w:rPr>
                <w:rFonts w:ascii="Arial"/>
                <w:b/>
                <w:sz w:val="19"/>
              </w:rPr>
            </w:pPr>
            <w:r>
              <w:rPr>
                <w:rFonts w:ascii="Arial"/>
                <w:b/>
                <w:w w:val="105"/>
                <w:sz w:val="19"/>
              </w:rPr>
              <w:t>Academic Growth</w:t>
            </w:r>
          </w:p>
          <w:p>
            <w:pPr>
              <w:pStyle w:val="TableParagraph"/>
              <w:spacing w:before="11"/>
              <w:rPr>
                <w:rFonts w:ascii="Verdana"/>
                <w:sz w:val="19"/>
              </w:rPr>
            </w:pPr>
          </w:p>
          <w:p>
            <w:pPr>
              <w:pStyle w:val="TableParagraph"/>
              <w:numPr>
                <w:ilvl w:val="0"/>
                <w:numId w:val="5"/>
              </w:numPr>
              <w:tabs>
                <w:tab w:pos="835" w:val="left" w:leader="none"/>
              </w:tabs>
              <w:spacing w:line="240" w:lineRule="auto" w:before="0" w:after="0"/>
              <w:ind w:left="835" w:right="0" w:hanging="360"/>
              <w:jc w:val="left"/>
              <w:rPr>
                <w:rFonts w:ascii="Arial"/>
                <w:sz w:val="19"/>
              </w:rPr>
            </w:pPr>
            <w:r>
              <w:rPr>
                <w:rFonts w:ascii="Arial"/>
                <w:w w:val="105"/>
                <w:sz w:val="19"/>
              </w:rPr>
              <w:t>Students will demonstrate growth in knowledge and skills in Math [PARCC: Math MGP]</w:t>
            </w:r>
          </w:p>
          <w:p>
            <w:pPr>
              <w:pStyle w:val="TableParagraph"/>
              <w:numPr>
                <w:ilvl w:val="0"/>
                <w:numId w:val="5"/>
              </w:numPr>
              <w:tabs>
                <w:tab w:pos="835" w:val="left" w:leader="none"/>
              </w:tabs>
              <w:spacing w:line="230" w:lineRule="atLeast" w:before="0" w:after="0"/>
              <w:ind w:left="835" w:right="617" w:hanging="360"/>
              <w:jc w:val="left"/>
              <w:rPr>
                <w:rFonts w:ascii="Arial"/>
                <w:sz w:val="19"/>
              </w:rPr>
            </w:pPr>
            <w:r>
              <w:rPr>
                <w:rFonts w:ascii="Arial"/>
                <w:w w:val="105"/>
                <w:sz w:val="19"/>
              </w:rPr>
              <w:t>Students will demonstrate growth in knowledge and skills in Reading/English Language Arts [PARCC: ELA</w:t>
            </w:r>
            <w:r>
              <w:rPr>
                <w:rFonts w:ascii="Arial"/>
                <w:spacing w:val="2"/>
                <w:w w:val="105"/>
                <w:sz w:val="19"/>
              </w:rPr>
              <w:t> </w:t>
            </w:r>
            <w:r>
              <w:rPr>
                <w:rFonts w:ascii="Arial"/>
                <w:w w:val="105"/>
                <w:sz w:val="19"/>
              </w:rPr>
              <w:t>MGP]</w:t>
            </w:r>
          </w:p>
        </w:tc>
      </w:tr>
      <w:tr>
        <w:trPr>
          <w:trHeight w:val="1857" w:hRule="atLeast"/>
        </w:trPr>
        <w:tc>
          <w:tcPr>
            <w:tcW w:w="9590" w:type="dxa"/>
          </w:tcPr>
          <w:p>
            <w:pPr>
              <w:pStyle w:val="TableParagraph"/>
              <w:spacing w:before="4"/>
              <w:ind w:left="115"/>
              <w:rPr>
                <w:rFonts w:ascii="Arial"/>
                <w:b/>
                <w:sz w:val="19"/>
              </w:rPr>
            </w:pPr>
            <w:r>
              <w:rPr>
                <w:rFonts w:ascii="Arial"/>
                <w:b/>
                <w:w w:val="105"/>
                <w:sz w:val="19"/>
              </w:rPr>
              <w:t>Graduation and HS, College, Career Readiness</w:t>
            </w:r>
          </w:p>
          <w:p>
            <w:pPr>
              <w:pStyle w:val="TableParagraph"/>
              <w:spacing w:before="11"/>
              <w:rPr>
                <w:rFonts w:ascii="Verdana"/>
                <w:sz w:val="19"/>
              </w:rPr>
            </w:pPr>
          </w:p>
          <w:p>
            <w:pPr>
              <w:pStyle w:val="TableParagraph"/>
              <w:numPr>
                <w:ilvl w:val="0"/>
                <w:numId w:val="6"/>
              </w:numPr>
              <w:tabs>
                <w:tab w:pos="835" w:val="left" w:leader="none"/>
              </w:tabs>
              <w:spacing w:line="252" w:lineRule="auto" w:before="0" w:after="0"/>
              <w:ind w:left="835" w:right="432" w:hanging="360"/>
              <w:jc w:val="left"/>
              <w:rPr>
                <w:rFonts w:ascii="Arial" w:hAnsi="Arial"/>
                <w:sz w:val="19"/>
              </w:rPr>
            </w:pPr>
            <w:r>
              <w:rPr>
                <w:rFonts w:ascii="Arial" w:hAnsi="Arial"/>
                <w:w w:val="105"/>
                <w:sz w:val="19"/>
              </w:rPr>
              <w:t>The school’s credit earning rate will improve from year to year with 75% as a baseline until the school maintains a credit earning rate of</w:t>
            </w:r>
            <w:r>
              <w:rPr>
                <w:rFonts w:ascii="Arial" w:hAnsi="Arial"/>
                <w:spacing w:val="4"/>
                <w:w w:val="105"/>
                <w:sz w:val="19"/>
              </w:rPr>
              <w:t> </w:t>
            </w:r>
            <w:r>
              <w:rPr>
                <w:rFonts w:ascii="Arial" w:hAnsi="Arial"/>
                <w:w w:val="105"/>
                <w:sz w:val="19"/>
              </w:rPr>
              <w:t>95%.</w:t>
            </w:r>
          </w:p>
          <w:p>
            <w:pPr>
              <w:pStyle w:val="TableParagraph"/>
              <w:numPr>
                <w:ilvl w:val="0"/>
                <w:numId w:val="6"/>
              </w:numPr>
              <w:tabs>
                <w:tab w:pos="835" w:val="left" w:leader="none"/>
              </w:tabs>
              <w:spacing w:line="240" w:lineRule="auto" w:before="2" w:after="0"/>
              <w:ind w:left="835" w:right="2087" w:hanging="835"/>
              <w:jc w:val="right"/>
              <w:rPr>
                <w:rFonts w:ascii="Arial"/>
                <w:sz w:val="19"/>
              </w:rPr>
            </w:pPr>
            <w:r>
              <w:rPr>
                <w:rFonts w:ascii="Arial"/>
                <w:w w:val="105"/>
                <w:sz w:val="19"/>
              </w:rPr>
              <w:t>The school will encourage persistence among its students as measured</w:t>
            </w:r>
            <w:r>
              <w:rPr>
                <w:rFonts w:ascii="Arial"/>
                <w:spacing w:val="-25"/>
                <w:w w:val="105"/>
                <w:sz w:val="19"/>
              </w:rPr>
              <w:t> </w:t>
            </w:r>
            <w:r>
              <w:rPr>
                <w:rFonts w:ascii="Arial"/>
                <w:w w:val="105"/>
                <w:sz w:val="19"/>
              </w:rPr>
              <w:t>by:</w:t>
            </w:r>
          </w:p>
          <w:p>
            <w:pPr>
              <w:pStyle w:val="TableParagraph"/>
              <w:numPr>
                <w:ilvl w:val="1"/>
                <w:numId w:val="6"/>
              </w:numPr>
              <w:tabs>
                <w:tab w:pos="360" w:val="left" w:leader="none"/>
              </w:tabs>
              <w:spacing w:line="240" w:lineRule="auto" w:before="12" w:after="0"/>
              <w:ind w:left="1555" w:right="2073" w:hanging="1555"/>
              <w:jc w:val="right"/>
              <w:rPr>
                <w:rFonts w:ascii="Arial"/>
                <w:sz w:val="19"/>
              </w:rPr>
            </w:pPr>
            <w:r>
              <w:rPr>
                <w:rFonts w:ascii="Arial"/>
                <w:w w:val="105"/>
                <w:sz w:val="19"/>
              </w:rPr>
              <w:t>The five-year adjusted cohort graduation rate will be 60% or</w:t>
            </w:r>
            <w:r>
              <w:rPr>
                <w:rFonts w:ascii="Arial"/>
                <w:spacing w:val="-24"/>
                <w:w w:val="105"/>
                <w:sz w:val="19"/>
              </w:rPr>
              <w:t> </w:t>
            </w:r>
            <w:r>
              <w:rPr>
                <w:rFonts w:ascii="Arial"/>
                <w:w w:val="105"/>
                <w:sz w:val="19"/>
              </w:rPr>
              <w:t>above.</w:t>
            </w:r>
          </w:p>
          <w:p>
            <w:pPr>
              <w:pStyle w:val="TableParagraph"/>
              <w:numPr>
                <w:ilvl w:val="1"/>
                <w:numId w:val="6"/>
              </w:numPr>
              <w:tabs>
                <w:tab w:pos="1555" w:val="left" w:leader="none"/>
              </w:tabs>
              <w:spacing w:line="230" w:lineRule="atLeast" w:before="0" w:after="0"/>
              <w:ind w:left="1555" w:right="318" w:hanging="360"/>
              <w:jc w:val="left"/>
              <w:rPr>
                <w:rFonts w:ascii="Arial"/>
                <w:sz w:val="19"/>
              </w:rPr>
            </w:pPr>
            <w:r>
              <w:rPr>
                <w:rFonts w:ascii="Arial"/>
                <w:w w:val="105"/>
                <w:sz w:val="19"/>
              </w:rPr>
              <w:t>Of the percentage of students who do not graduate in four-years, 80% or more of these remaining students will re-enroll at the</w:t>
            </w:r>
            <w:r>
              <w:rPr>
                <w:rFonts w:ascii="Arial"/>
                <w:spacing w:val="3"/>
                <w:w w:val="105"/>
                <w:sz w:val="19"/>
              </w:rPr>
              <w:t> </w:t>
            </w:r>
            <w:r>
              <w:rPr>
                <w:rFonts w:ascii="Arial"/>
                <w:w w:val="105"/>
                <w:sz w:val="19"/>
              </w:rPr>
              <w:t>school.</w:t>
            </w:r>
          </w:p>
        </w:tc>
      </w:tr>
    </w:tbl>
    <w:p>
      <w:pPr>
        <w:spacing w:after="0" w:line="230" w:lineRule="atLeast"/>
        <w:jc w:val="left"/>
        <w:rPr>
          <w:rFonts w:ascii="Arial"/>
          <w:sz w:val="19"/>
        </w:rPr>
        <w:sectPr>
          <w:headerReference w:type="default" r:id="rId9"/>
          <w:pgSz w:w="12240" w:h="15840"/>
          <w:pgMar w:header="659" w:footer="0" w:top="1400" w:bottom="280" w:left="600" w:right="600"/>
        </w:sectPr>
      </w:pPr>
    </w:p>
    <w:p>
      <w:pPr>
        <w:pStyle w:val="BodyText"/>
        <w:spacing w:before="8"/>
        <w:rPr>
          <w:sz w:val="2"/>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0"/>
      </w:tblGrid>
      <w:tr>
        <w:trPr>
          <w:trHeight w:val="1612" w:hRule="atLeast"/>
        </w:trPr>
        <w:tc>
          <w:tcPr>
            <w:tcW w:w="9590" w:type="dxa"/>
          </w:tcPr>
          <w:p>
            <w:pPr>
              <w:pStyle w:val="TableParagraph"/>
              <w:spacing w:before="119"/>
              <w:ind w:left="115"/>
              <w:rPr>
                <w:rFonts w:ascii="Arial"/>
                <w:b/>
                <w:sz w:val="19"/>
              </w:rPr>
            </w:pPr>
            <w:r>
              <w:rPr>
                <w:rFonts w:ascii="Arial"/>
                <w:b/>
                <w:w w:val="105"/>
                <w:sz w:val="19"/>
              </w:rPr>
              <w:t>School Environment/Student Engagement</w:t>
            </w:r>
          </w:p>
          <w:p>
            <w:pPr>
              <w:pStyle w:val="TableParagraph"/>
              <w:spacing w:before="11"/>
              <w:rPr>
                <w:rFonts w:ascii="Verdana"/>
                <w:sz w:val="19"/>
              </w:rPr>
            </w:pPr>
          </w:p>
          <w:p>
            <w:pPr>
              <w:pStyle w:val="TableParagraph"/>
              <w:numPr>
                <w:ilvl w:val="0"/>
                <w:numId w:val="7"/>
              </w:numPr>
              <w:tabs>
                <w:tab w:pos="835" w:val="left" w:leader="none"/>
              </w:tabs>
              <w:spacing w:line="252" w:lineRule="auto" w:before="0" w:after="0"/>
              <w:ind w:left="835" w:right="140" w:hanging="360"/>
              <w:jc w:val="left"/>
              <w:rPr>
                <w:rFonts w:ascii="Arial"/>
                <w:sz w:val="19"/>
              </w:rPr>
            </w:pPr>
            <w:r>
              <w:rPr>
                <w:rFonts w:ascii="Arial"/>
                <w:w w:val="105"/>
                <w:sz w:val="19"/>
              </w:rPr>
              <w:t>The school will maintain a middle school in-seat attendance rate within 2 percentage points of the charter sector average for that grade</w:t>
            </w:r>
            <w:r>
              <w:rPr>
                <w:rFonts w:ascii="Arial"/>
                <w:spacing w:val="2"/>
                <w:w w:val="105"/>
                <w:sz w:val="19"/>
              </w:rPr>
              <w:t> </w:t>
            </w:r>
            <w:r>
              <w:rPr>
                <w:rFonts w:ascii="Arial"/>
                <w:w w:val="105"/>
                <w:sz w:val="19"/>
              </w:rPr>
              <w:t>band.</w:t>
            </w:r>
          </w:p>
          <w:p>
            <w:pPr>
              <w:pStyle w:val="TableParagraph"/>
              <w:numPr>
                <w:ilvl w:val="0"/>
                <w:numId w:val="7"/>
              </w:numPr>
              <w:tabs>
                <w:tab w:pos="835" w:val="left" w:leader="none"/>
              </w:tabs>
              <w:spacing w:line="252" w:lineRule="auto" w:before="2" w:after="0"/>
              <w:ind w:left="835" w:right="351" w:hanging="360"/>
              <w:jc w:val="left"/>
              <w:rPr>
                <w:rFonts w:ascii="Arial"/>
                <w:sz w:val="19"/>
              </w:rPr>
            </w:pPr>
            <w:r>
              <w:rPr>
                <w:rFonts w:ascii="Arial"/>
                <w:w w:val="105"/>
                <w:sz w:val="19"/>
              </w:rPr>
              <w:t>The school will maintain a high school in-seat attendance rate within 3 percentage points of the charter sector average for that grade</w:t>
            </w:r>
            <w:r>
              <w:rPr>
                <w:rFonts w:ascii="Arial"/>
                <w:spacing w:val="2"/>
                <w:w w:val="105"/>
                <w:sz w:val="19"/>
              </w:rPr>
              <w:t> </w:t>
            </w:r>
            <w:r>
              <w:rPr>
                <w:rFonts w:ascii="Arial"/>
                <w:w w:val="105"/>
                <w:sz w:val="19"/>
              </w:rPr>
              <w:t>band.</w:t>
            </w:r>
          </w:p>
        </w:tc>
      </w:tr>
      <w:tr>
        <w:trPr>
          <w:trHeight w:val="1377" w:hRule="atLeast"/>
        </w:trPr>
        <w:tc>
          <w:tcPr>
            <w:tcW w:w="9590" w:type="dxa"/>
          </w:tcPr>
          <w:p>
            <w:pPr>
              <w:pStyle w:val="TableParagraph"/>
              <w:spacing w:before="4"/>
              <w:ind w:left="115"/>
              <w:rPr>
                <w:rFonts w:ascii="Arial"/>
                <w:b/>
                <w:sz w:val="19"/>
              </w:rPr>
            </w:pPr>
            <w:r>
              <w:rPr>
                <w:rFonts w:ascii="Arial"/>
                <w:b/>
                <w:w w:val="105"/>
                <w:sz w:val="19"/>
              </w:rPr>
              <w:t>Social Emotional Learning</w:t>
            </w:r>
          </w:p>
          <w:p>
            <w:pPr>
              <w:pStyle w:val="TableParagraph"/>
              <w:spacing w:before="11"/>
              <w:rPr>
                <w:rFonts w:ascii="Verdana"/>
                <w:sz w:val="19"/>
              </w:rPr>
            </w:pPr>
          </w:p>
          <w:p>
            <w:pPr>
              <w:pStyle w:val="TableParagraph"/>
              <w:spacing w:line="249" w:lineRule="auto"/>
              <w:ind w:left="835" w:right="167" w:hanging="360"/>
              <w:rPr>
                <w:rFonts w:ascii="Arial"/>
                <w:sz w:val="19"/>
              </w:rPr>
            </w:pPr>
            <w:r>
              <w:rPr>
                <w:rFonts w:ascii="Arial"/>
                <w:w w:val="105"/>
                <w:sz w:val="19"/>
              </w:rPr>
              <w:t>9.</w:t>
            </w:r>
            <w:r>
              <w:rPr>
                <w:rFonts w:ascii="Arial"/>
                <w:spacing w:val="55"/>
                <w:w w:val="105"/>
                <w:sz w:val="19"/>
              </w:rPr>
              <w:t> </w:t>
            </w:r>
            <w:r>
              <w:rPr>
                <w:rFonts w:ascii="Arial"/>
                <w:w w:val="105"/>
                <w:sz w:val="19"/>
              </w:rPr>
              <w:t>65% of students identified on their [Individualized Education Program (IEP)] as having emotional or behavioral disabilities will maintain or show a statistically significant decrease in problematic severity scores and maintain and/or show a statistically significant increase in functionality</w:t>
            </w:r>
            <w:r>
              <w:rPr>
                <w:rFonts w:ascii="Arial"/>
                <w:spacing w:val="-36"/>
                <w:w w:val="105"/>
                <w:sz w:val="19"/>
              </w:rPr>
              <w:t> </w:t>
            </w:r>
            <w:r>
              <w:rPr>
                <w:rFonts w:ascii="Arial"/>
                <w:w w:val="105"/>
                <w:sz w:val="19"/>
              </w:rPr>
              <w:t>scores</w:t>
            </w:r>
          </w:p>
          <w:p>
            <w:pPr>
              <w:pStyle w:val="TableParagraph"/>
              <w:spacing w:line="206" w:lineRule="exact" w:before="5"/>
              <w:ind w:left="835"/>
              <w:rPr>
                <w:rFonts w:ascii="Arial"/>
                <w:sz w:val="19"/>
              </w:rPr>
            </w:pPr>
            <w:r>
              <w:rPr>
                <w:rFonts w:ascii="Arial"/>
                <w:w w:val="105"/>
                <w:sz w:val="19"/>
              </w:rPr>
              <w:t>per the standardization norms of the Ohio Scales Assessment.</w:t>
            </w:r>
          </w:p>
        </w:tc>
      </w:tr>
    </w:tbl>
    <w:p>
      <w:pPr>
        <w:pStyle w:val="BodyText"/>
        <w:rPr>
          <w:sz w:val="20"/>
        </w:rPr>
      </w:pPr>
    </w:p>
    <w:p>
      <w:pPr>
        <w:pStyle w:val="BodyText"/>
        <w:spacing w:before="3"/>
        <w:rPr>
          <w:sz w:val="24"/>
        </w:rPr>
      </w:pPr>
    </w:p>
    <w:tbl>
      <w:tblPr>
        <w:tblW w:w="0" w:type="auto"/>
        <w:jc w:val="left"/>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2"/>
      </w:tblGrid>
      <w:tr>
        <w:trPr>
          <w:trHeight w:val="426" w:hRule="atLeast"/>
        </w:trPr>
        <w:tc>
          <w:tcPr>
            <w:tcW w:w="9562" w:type="dxa"/>
          </w:tcPr>
          <w:p>
            <w:pPr>
              <w:pStyle w:val="TableParagraph"/>
              <w:spacing w:before="104"/>
              <w:ind w:left="2841" w:right="2824"/>
              <w:jc w:val="center"/>
              <w:rPr>
                <w:rFonts w:ascii="Arial"/>
                <w:b/>
                <w:sz w:val="19"/>
              </w:rPr>
            </w:pPr>
            <w:r>
              <w:rPr>
                <w:rFonts w:ascii="Arial"/>
                <w:b/>
                <w:w w:val="105"/>
                <w:sz w:val="19"/>
              </w:rPr>
              <w:t>Proposed Goals and Expectations (New)</w:t>
            </w:r>
          </w:p>
        </w:tc>
      </w:tr>
      <w:tr>
        <w:trPr>
          <w:trHeight w:val="2043" w:hRule="atLeast"/>
        </w:trPr>
        <w:tc>
          <w:tcPr>
            <w:tcW w:w="9562" w:type="dxa"/>
          </w:tcPr>
          <w:p>
            <w:pPr>
              <w:pStyle w:val="TableParagraph"/>
              <w:spacing w:before="104"/>
              <w:ind w:left="100"/>
              <w:rPr>
                <w:rFonts w:ascii="Arial"/>
                <w:b/>
                <w:sz w:val="19"/>
              </w:rPr>
            </w:pPr>
            <w:r>
              <w:rPr>
                <w:rFonts w:ascii="Arial"/>
                <w:b/>
                <w:w w:val="105"/>
                <w:sz w:val="19"/>
              </w:rPr>
              <w:t>Academic Progress and/or Achievement</w:t>
            </w:r>
          </w:p>
          <w:p>
            <w:pPr>
              <w:pStyle w:val="TableParagraph"/>
              <w:spacing w:before="11"/>
              <w:rPr>
                <w:rFonts w:ascii="Verdana"/>
                <w:sz w:val="19"/>
              </w:rPr>
            </w:pPr>
          </w:p>
          <w:p>
            <w:pPr>
              <w:pStyle w:val="TableParagraph"/>
              <w:numPr>
                <w:ilvl w:val="0"/>
                <w:numId w:val="8"/>
              </w:numPr>
              <w:tabs>
                <w:tab w:pos="821" w:val="left" w:leader="none"/>
              </w:tabs>
              <w:spacing w:line="252" w:lineRule="auto" w:before="1" w:after="0"/>
              <w:ind w:left="820" w:right="80" w:hanging="360"/>
              <w:jc w:val="left"/>
              <w:rPr>
                <w:rFonts w:ascii="Arial"/>
                <w:sz w:val="19"/>
              </w:rPr>
            </w:pPr>
            <w:r>
              <w:rPr>
                <w:rFonts w:ascii="Arial"/>
                <w:color w:val="333333"/>
                <w:w w:val="105"/>
                <w:sz w:val="19"/>
              </w:rPr>
              <w:t>60% percent of learners complete and/or advance at least one educational functioning level (EFL) in</w:t>
            </w:r>
            <w:r>
              <w:rPr>
                <w:rFonts w:ascii="Arial"/>
                <w:color w:val="333333"/>
                <w:spacing w:val="1"/>
                <w:w w:val="105"/>
                <w:sz w:val="19"/>
              </w:rPr>
              <w:t> </w:t>
            </w:r>
            <w:r>
              <w:rPr>
                <w:rFonts w:ascii="Arial"/>
                <w:color w:val="333333"/>
                <w:w w:val="105"/>
                <w:sz w:val="19"/>
              </w:rPr>
              <w:t>math</w:t>
            </w:r>
          </w:p>
          <w:p>
            <w:pPr>
              <w:pStyle w:val="TableParagraph"/>
              <w:numPr>
                <w:ilvl w:val="0"/>
                <w:numId w:val="8"/>
              </w:numPr>
              <w:tabs>
                <w:tab w:pos="821" w:val="left" w:leader="none"/>
              </w:tabs>
              <w:spacing w:line="252" w:lineRule="auto" w:before="2" w:after="0"/>
              <w:ind w:left="820" w:right="81" w:hanging="360"/>
              <w:jc w:val="left"/>
              <w:rPr>
                <w:rFonts w:ascii="Arial"/>
                <w:sz w:val="19"/>
              </w:rPr>
            </w:pPr>
            <w:r>
              <w:rPr>
                <w:rFonts w:ascii="Arial"/>
                <w:color w:val="333333"/>
                <w:w w:val="105"/>
                <w:sz w:val="19"/>
              </w:rPr>
              <w:t>60% percent of learners complete and/or advance at least one educational functioning level (EFL) in</w:t>
            </w:r>
            <w:r>
              <w:rPr>
                <w:rFonts w:ascii="Arial"/>
                <w:color w:val="333333"/>
                <w:spacing w:val="1"/>
                <w:w w:val="105"/>
                <w:sz w:val="19"/>
              </w:rPr>
              <w:t> </w:t>
            </w:r>
            <w:r>
              <w:rPr>
                <w:rFonts w:ascii="Arial"/>
                <w:color w:val="333333"/>
                <w:w w:val="105"/>
                <w:sz w:val="19"/>
              </w:rPr>
              <w:t>reading</w:t>
            </w:r>
          </w:p>
          <w:p>
            <w:pPr>
              <w:pStyle w:val="TableParagraph"/>
              <w:numPr>
                <w:ilvl w:val="0"/>
                <w:numId w:val="8"/>
              </w:numPr>
              <w:tabs>
                <w:tab w:pos="821" w:val="left" w:leader="none"/>
              </w:tabs>
              <w:spacing w:line="252" w:lineRule="auto" w:before="2" w:after="0"/>
              <w:ind w:left="820" w:right="270" w:hanging="360"/>
              <w:jc w:val="left"/>
              <w:rPr>
                <w:rFonts w:ascii="Arial"/>
                <w:sz w:val="19"/>
              </w:rPr>
            </w:pPr>
            <w:r>
              <w:rPr>
                <w:rFonts w:ascii="Arial"/>
                <w:w w:val="105"/>
                <w:sz w:val="19"/>
              </w:rPr>
              <w:t>80% of learners who do not meet their EFL growth target demonstrate academic persistence by completing a personalized learning</w:t>
            </w:r>
            <w:r>
              <w:rPr>
                <w:rFonts w:ascii="Arial"/>
                <w:spacing w:val="4"/>
                <w:w w:val="105"/>
                <w:sz w:val="19"/>
              </w:rPr>
              <w:t> </w:t>
            </w:r>
            <w:r>
              <w:rPr>
                <w:rFonts w:ascii="Arial"/>
                <w:w w:val="105"/>
                <w:sz w:val="19"/>
              </w:rPr>
              <w:t>plan</w:t>
            </w:r>
          </w:p>
        </w:tc>
      </w:tr>
      <w:tr>
        <w:trPr>
          <w:trHeight w:val="1117" w:hRule="atLeast"/>
        </w:trPr>
        <w:tc>
          <w:tcPr>
            <w:tcW w:w="9562" w:type="dxa"/>
          </w:tcPr>
          <w:p>
            <w:pPr>
              <w:pStyle w:val="TableParagraph"/>
              <w:spacing w:before="104"/>
              <w:ind w:left="100"/>
              <w:rPr>
                <w:rFonts w:ascii="Arial"/>
                <w:b/>
                <w:sz w:val="19"/>
              </w:rPr>
            </w:pPr>
            <w:r>
              <w:rPr>
                <w:rFonts w:ascii="Arial"/>
                <w:b/>
                <w:w w:val="105"/>
                <w:sz w:val="19"/>
              </w:rPr>
              <w:t>High School Completion</w:t>
            </w:r>
          </w:p>
          <w:p>
            <w:pPr>
              <w:pStyle w:val="TableParagraph"/>
              <w:spacing w:before="11"/>
              <w:rPr>
                <w:rFonts w:ascii="Verdana"/>
                <w:sz w:val="19"/>
              </w:rPr>
            </w:pPr>
          </w:p>
          <w:p>
            <w:pPr>
              <w:pStyle w:val="TableParagraph"/>
              <w:tabs>
                <w:tab w:pos="820" w:val="left" w:leader="none"/>
              </w:tabs>
              <w:spacing w:line="252" w:lineRule="auto" w:before="1"/>
              <w:ind w:left="100" w:right="628"/>
              <w:rPr>
                <w:rFonts w:ascii="Arial"/>
                <w:sz w:val="19"/>
              </w:rPr>
            </w:pPr>
            <w:r>
              <w:rPr>
                <w:rFonts w:ascii="Arial"/>
                <w:w w:val="105"/>
                <w:sz w:val="19"/>
              </w:rPr>
              <w:t>4.</w:t>
              <w:tab/>
              <w:t>75% of students receiving a credential including a high school diploma, GED, NEDP, or IEP Certificate of Completion at the conclusion of their final year of high</w:t>
            </w:r>
            <w:r>
              <w:rPr>
                <w:rFonts w:ascii="Arial"/>
                <w:spacing w:val="1"/>
                <w:w w:val="105"/>
                <w:sz w:val="19"/>
              </w:rPr>
              <w:t> </w:t>
            </w:r>
            <w:r>
              <w:rPr>
                <w:rFonts w:ascii="Arial"/>
                <w:w w:val="105"/>
                <w:sz w:val="19"/>
              </w:rPr>
              <w:t>school</w:t>
            </w:r>
          </w:p>
        </w:tc>
      </w:tr>
      <w:tr>
        <w:trPr>
          <w:trHeight w:val="1122" w:hRule="atLeast"/>
        </w:trPr>
        <w:tc>
          <w:tcPr>
            <w:tcW w:w="9562" w:type="dxa"/>
          </w:tcPr>
          <w:p>
            <w:pPr>
              <w:pStyle w:val="TableParagraph"/>
              <w:spacing w:before="104"/>
              <w:ind w:left="100"/>
              <w:rPr>
                <w:rFonts w:ascii="Arial"/>
                <w:b/>
                <w:sz w:val="19"/>
              </w:rPr>
            </w:pPr>
            <w:r>
              <w:rPr>
                <w:rFonts w:ascii="Arial"/>
                <w:b/>
                <w:w w:val="105"/>
                <w:sz w:val="19"/>
              </w:rPr>
              <w:t>College/Career Readiness</w:t>
            </w:r>
          </w:p>
          <w:p>
            <w:pPr>
              <w:pStyle w:val="TableParagraph"/>
              <w:spacing w:before="11"/>
              <w:rPr>
                <w:rFonts w:ascii="Verdana"/>
                <w:sz w:val="19"/>
              </w:rPr>
            </w:pPr>
          </w:p>
          <w:p>
            <w:pPr>
              <w:pStyle w:val="TableParagraph"/>
              <w:tabs>
                <w:tab w:pos="820" w:val="left" w:leader="none"/>
              </w:tabs>
              <w:spacing w:line="252" w:lineRule="auto" w:before="1"/>
              <w:ind w:left="100" w:right="470"/>
              <w:rPr>
                <w:rFonts w:ascii="Arial"/>
                <w:sz w:val="19"/>
              </w:rPr>
            </w:pPr>
            <w:r>
              <w:rPr>
                <w:rFonts w:ascii="Arial"/>
                <w:w w:val="105"/>
                <w:sz w:val="19"/>
              </w:rPr>
              <w:t>5.</w:t>
              <w:tab/>
              <w:t>70% of students at the end of their terminal year of secondary school demonstrate mastery of CCLR</w:t>
            </w:r>
            <w:r>
              <w:rPr>
                <w:rFonts w:ascii="Arial"/>
                <w:spacing w:val="1"/>
                <w:w w:val="105"/>
                <w:sz w:val="19"/>
              </w:rPr>
              <w:t> </w:t>
            </w:r>
            <w:r>
              <w:rPr>
                <w:rFonts w:ascii="Arial"/>
                <w:w w:val="105"/>
                <w:sz w:val="19"/>
              </w:rPr>
              <w:t>competencies</w:t>
            </w:r>
          </w:p>
        </w:tc>
      </w:tr>
      <w:tr>
        <w:trPr>
          <w:trHeight w:val="1122" w:hRule="atLeast"/>
        </w:trPr>
        <w:tc>
          <w:tcPr>
            <w:tcW w:w="9562" w:type="dxa"/>
          </w:tcPr>
          <w:p>
            <w:pPr>
              <w:pStyle w:val="TableParagraph"/>
              <w:spacing w:before="104"/>
              <w:ind w:left="100"/>
              <w:rPr>
                <w:rFonts w:ascii="Arial"/>
                <w:b/>
                <w:sz w:val="19"/>
              </w:rPr>
            </w:pPr>
            <w:r>
              <w:rPr>
                <w:rFonts w:ascii="Arial"/>
                <w:b/>
                <w:w w:val="105"/>
                <w:sz w:val="19"/>
              </w:rPr>
              <w:t>Student Engagement</w:t>
            </w:r>
          </w:p>
          <w:p>
            <w:pPr>
              <w:pStyle w:val="TableParagraph"/>
              <w:spacing w:before="11"/>
              <w:rPr>
                <w:rFonts w:ascii="Verdana"/>
                <w:sz w:val="19"/>
              </w:rPr>
            </w:pPr>
          </w:p>
          <w:p>
            <w:pPr>
              <w:pStyle w:val="TableParagraph"/>
              <w:tabs>
                <w:tab w:pos="820" w:val="left" w:leader="none"/>
              </w:tabs>
              <w:spacing w:line="252" w:lineRule="auto" w:before="1"/>
              <w:ind w:left="100" w:right="1036"/>
              <w:rPr>
                <w:rFonts w:ascii="Arial"/>
                <w:sz w:val="19"/>
              </w:rPr>
            </w:pPr>
            <w:r>
              <w:rPr>
                <w:rFonts w:ascii="Arial"/>
                <w:w w:val="105"/>
                <w:sz w:val="19"/>
              </w:rPr>
              <w:t>6.</w:t>
              <w:tab/>
              <w:t>65% of students maintain an engagement score of average or above as per their tiered engagement cohort upon</w:t>
            </w:r>
            <w:r>
              <w:rPr>
                <w:rFonts w:ascii="Arial"/>
                <w:spacing w:val="1"/>
                <w:w w:val="105"/>
                <w:sz w:val="19"/>
              </w:rPr>
              <w:t> </w:t>
            </w:r>
            <w:r>
              <w:rPr>
                <w:rFonts w:ascii="Arial"/>
                <w:w w:val="105"/>
                <w:sz w:val="19"/>
              </w:rPr>
              <w:t>intake</w:t>
            </w:r>
          </w:p>
        </w:tc>
      </w:tr>
    </w:tbl>
    <w:p>
      <w:pPr>
        <w:spacing w:after="0" w:line="252" w:lineRule="auto"/>
        <w:rPr>
          <w:rFonts w:ascii="Arial"/>
          <w:sz w:val="19"/>
        </w:rPr>
        <w:sectPr>
          <w:pgSz w:w="12240" w:h="15840"/>
          <w:pgMar w:header="659" w:footer="0" w:top="1400" w:bottom="280" w:left="600" w:right="600"/>
        </w:sectPr>
      </w:pPr>
    </w:p>
    <w:p>
      <w:pPr>
        <w:pStyle w:val="BodyText"/>
        <w:spacing w:line="252" w:lineRule="auto" w:before="38"/>
        <w:ind w:left="1204" w:right="1217"/>
      </w:pPr>
      <w:r>
        <w:rPr>
          <w:w w:val="105"/>
        </w:rPr>
        <w:t>If the school’s existing goals were “not historically measured” or are no longer being pursued, explain why the school is abandoning these goals and how they will be replaced.</w:t>
      </w:r>
    </w:p>
    <w:p>
      <w:pPr>
        <w:spacing w:line="252" w:lineRule="auto" w:before="122"/>
        <w:ind w:left="1204" w:right="965" w:firstLine="0"/>
        <w:jc w:val="left"/>
        <w:rPr>
          <w:sz w:val="21"/>
        </w:rPr>
      </w:pPr>
      <w:r>
        <w:rPr>
          <w:w w:val="105"/>
          <w:sz w:val="21"/>
          <w:shd w:fill="FFFF00" w:color="auto" w:val="clear"/>
        </w:rPr>
        <w:t>In June 2016, the DC Public Charter School Board approved Kingsman</w:t>
      </w:r>
      <w:r>
        <w:rPr>
          <w:w w:val="105"/>
          <w:sz w:val="21"/>
        </w:rPr>
        <w:t> </w:t>
      </w:r>
      <w:r>
        <w:rPr>
          <w:w w:val="105"/>
          <w:sz w:val="21"/>
          <w:shd w:fill="FFFF00" w:color="auto" w:val="clear"/>
        </w:rPr>
        <w:t>Academy’s application for alternative accountability status. The proposed</w:t>
      </w:r>
      <w:r>
        <w:rPr>
          <w:w w:val="105"/>
          <w:sz w:val="21"/>
        </w:rPr>
        <w:t> </w:t>
      </w:r>
      <w:r>
        <w:rPr>
          <w:w w:val="105"/>
          <w:sz w:val="21"/>
          <w:shd w:fill="FFFF00" w:color="auto" w:val="clear"/>
        </w:rPr>
        <w:t>amendment for goals and expectations will allow for alignment of goals to our</w:t>
      </w:r>
      <w:r>
        <w:rPr>
          <w:w w:val="105"/>
          <w:sz w:val="21"/>
        </w:rPr>
        <w:t> </w:t>
      </w:r>
      <w:r>
        <w:rPr>
          <w:w w:val="105"/>
          <w:sz w:val="21"/>
          <w:shd w:fill="FFFF00" w:color="auto" w:val="clear"/>
        </w:rPr>
        <w:t>recently approved competency-based academic application and the DC Public</w:t>
      </w:r>
      <w:r>
        <w:rPr>
          <w:w w:val="105"/>
          <w:sz w:val="21"/>
        </w:rPr>
        <w:t> </w:t>
      </w:r>
      <w:r>
        <w:rPr>
          <w:w w:val="105"/>
          <w:sz w:val="21"/>
          <w:shd w:fill="FFFF00" w:color="auto" w:val="clear"/>
        </w:rPr>
        <w:t>Charter School Board revised Alternative Accountability Framework. The school</w:t>
      </w:r>
      <w:r>
        <w:rPr>
          <w:w w:val="105"/>
          <w:sz w:val="21"/>
        </w:rPr>
        <w:t> </w:t>
      </w:r>
      <w:r>
        <w:rPr>
          <w:w w:val="105"/>
          <w:sz w:val="21"/>
          <w:shd w:fill="FFFF00" w:color="auto" w:val="clear"/>
        </w:rPr>
        <w:t>has worked with national experts to develop our academic program and</w:t>
      </w:r>
      <w:r>
        <w:rPr>
          <w:w w:val="105"/>
          <w:sz w:val="21"/>
        </w:rPr>
        <w:t> </w:t>
      </w:r>
      <w:r>
        <w:rPr>
          <w:w w:val="105"/>
          <w:sz w:val="21"/>
          <w:shd w:fill="FFFF00" w:color="auto" w:val="clear"/>
        </w:rPr>
        <w:t>proposed goals within the revised DC Public Charter School Board Alternative</w:t>
      </w:r>
      <w:r>
        <w:rPr>
          <w:w w:val="105"/>
          <w:sz w:val="21"/>
        </w:rPr>
        <w:t> </w:t>
      </w:r>
      <w:r>
        <w:rPr>
          <w:w w:val="105"/>
          <w:sz w:val="21"/>
          <w:shd w:fill="FFFF00" w:color="auto" w:val="clear"/>
        </w:rPr>
        <w:t>Accountability Framework.</w:t>
      </w:r>
    </w:p>
    <w:p>
      <w:pPr>
        <w:pStyle w:val="BodyText"/>
        <w:spacing w:before="7"/>
      </w:pPr>
    </w:p>
    <w:p>
      <w:pPr>
        <w:pStyle w:val="ListParagraph"/>
        <w:numPr>
          <w:ilvl w:val="0"/>
          <w:numId w:val="3"/>
        </w:numPr>
        <w:tabs>
          <w:tab w:pos="1205" w:val="left" w:leader="none"/>
        </w:tabs>
        <w:spacing w:line="254" w:lineRule="auto" w:before="0" w:after="0"/>
        <w:ind w:left="1204" w:right="908" w:hanging="360"/>
        <w:jc w:val="left"/>
        <w:rPr>
          <w:sz w:val="19"/>
        </w:rPr>
      </w:pPr>
      <w:r>
        <w:rPr>
          <w:w w:val="105"/>
          <w:sz w:val="19"/>
        </w:rPr>
        <w:t>How will the new goals better measure the school’s mission, curriculum, operations, and education experience for</w:t>
      </w:r>
      <w:r>
        <w:rPr>
          <w:spacing w:val="3"/>
          <w:w w:val="105"/>
          <w:sz w:val="19"/>
        </w:rPr>
        <w:t> </w:t>
      </w:r>
      <w:r>
        <w:rPr>
          <w:w w:val="105"/>
          <w:sz w:val="19"/>
        </w:rPr>
        <w:t>families?</w:t>
      </w:r>
    </w:p>
    <w:p>
      <w:pPr>
        <w:pStyle w:val="Heading1"/>
        <w:spacing w:line="252" w:lineRule="auto"/>
      </w:pPr>
      <w:r>
        <w:rPr>
          <w:w w:val="105"/>
          <w:shd w:fill="FFFF00" w:color="auto" w:val="clear"/>
        </w:rPr>
        <w:t>By design, Kingsman Academy serves students who are overaged and under-</w:t>
      </w:r>
      <w:r>
        <w:rPr>
          <w:w w:val="105"/>
        </w:rPr>
        <w:t> </w:t>
      </w:r>
      <w:r>
        <w:rPr>
          <w:w w:val="105"/>
          <w:shd w:fill="FFFF00" w:color="auto" w:val="clear"/>
        </w:rPr>
        <w:t>credited, require intensive specialized learning and behavior supports, and</w:t>
      </w:r>
      <w:r>
        <w:rPr>
          <w:w w:val="105"/>
        </w:rPr>
        <w:t> </w:t>
      </w:r>
      <w:r>
        <w:rPr>
          <w:w w:val="105"/>
          <w:shd w:fill="FFFF00" w:color="auto" w:val="clear"/>
        </w:rPr>
        <w:t>students at risk for dropping out of school due to attendance. The proposed</w:t>
      </w:r>
      <w:r>
        <w:rPr>
          <w:w w:val="105"/>
        </w:rPr>
        <w:t> </w:t>
      </w:r>
      <w:r>
        <w:rPr>
          <w:w w:val="105"/>
          <w:shd w:fill="FFFF00" w:color="auto" w:val="clear"/>
        </w:rPr>
        <w:t>goals and expectations charter amendment will allow the school to adopt goals</w:t>
      </w:r>
      <w:r>
        <w:rPr>
          <w:w w:val="105"/>
        </w:rPr>
        <w:t> </w:t>
      </w:r>
      <w:r>
        <w:rPr>
          <w:w w:val="105"/>
          <w:shd w:fill="FFFF00" w:color="auto" w:val="clear"/>
        </w:rPr>
        <w:t>specific to our mission and our recently approved competency-based academic</w:t>
      </w:r>
      <w:r>
        <w:rPr>
          <w:w w:val="105"/>
        </w:rPr>
        <w:t> </w:t>
      </w:r>
      <w:r>
        <w:rPr>
          <w:w w:val="105"/>
          <w:shd w:fill="FFFF00" w:color="auto" w:val="clear"/>
        </w:rPr>
        <w:t>program.</w:t>
      </w:r>
    </w:p>
    <w:p>
      <w:pPr>
        <w:pStyle w:val="BodyText"/>
        <w:spacing w:before="7"/>
        <w:rPr>
          <w:sz w:val="20"/>
        </w:rPr>
      </w:pPr>
    </w:p>
    <w:p>
      <w:pPr>
        <w:pStyle w:val="ListParagraph"/>
        <w:numPr>
          <w:ilvl w:val="0"/>
          <w:numId w:val="3"/>
        </w:numPr>
        <w:tabs>
          <w:tab w:pos="1205" w:val="left" w:leader="none"/>
        </w:tabs>
        <w:spacing w:line="252" w:lineRule="auto" w:before="1" w:after="0"/>
        <w:ind w:left="1204" w:right="978" w:hanging="360"/>
        <w:jc w:val="left"/>
        <w:rPr>
          <w:sz w:val="19"/>
        </w:rPr>
      </w:pPr>
      <w:r>
        <w:rPr>
          <w:w w:val="105"/>
          <w:sz w:val="19"/>
        </w:rPr>
        <w:t>If proposing goals and/or academic expectations aside from adopting the</w:t>
      </w:r>
      <w:r>
        <w:rPr>
          <w:color w:val="0563C1"/>
          <w:w w:val="105"/>
          <w:sz w:val="19"/>
        </w:rPr>
        <w:t> </w:t>
      </w:r>
      <w:r>
        <w:rPr>
          <w:color w:val="0563C1"/>
          <w:w w:val="105"/>
          <w:sz w:val="19"/>
          <w:u w:val="single" w:color="0563C1"/>
        </w:rPr>
        <w:t>Performance Management Framework</w:t>
      </w:r>
      <w:r>
        <w:rPr>
          <w:w w:val="105"/>
          <w:sz w:val="19"/>
        </w:rPr>
        <w:t>, please describe how the school will monitor and report its progress towards goal attainment. Please note that all schools are required to report on progress each year in the Annual</w:t>
      </w:r>
      <w:r>
        <w:rPr>
          <w:spacing w:val="6"/>
          <w:w w:val="105"/>
          <w:sz w:val="19"/>
        </w:rPr>
        <w:t> </w:t>
      </w:r>
      <w:r>
        <w:rPr>
          <w:w w:val="105"/>
          <w:sz w:val="19"/>
        </w:rPr>
        <w:t>Report.</w:t>
      </w:r>
    </w:p>
    <w:p>
      <w:pPr>
        <w:pStyle w:val="BodyText"/>
        <w:spacing w:before="4"/>
        <w:ind w:left="1204"/>
      </w:pPr>
      <w:r>
        <w:rPr>
          <w:b/>
          <w:w w:val="105"/>
        </w:rPr>
        <w:t>(</w:t>
      </w:r>
      <w:r>
        <w:rPr>
          <w:w w:val="105"/>
        </w:rPr>
        <w:t>If adopting the PMF without any mission-specific goals, this question is not applicable.)</w:t>
      </w:r>
    </w:p>
    <w:p>
      <w:pPr>
        <w:pStyle w:val="Heading2"/>
        <w:spacing w:before="129"/>
        <w:ind w:left="1204"/>
      </w:pPr>
      <w:r>
        <w:rPr>
          <w:w w:val="105"/>
          <w:shd w:fill="FFFF00" w:color="auto" w:val="clear"/>
        </w:rPr>
        <w:t>Academic Progress and/or</w:t>
      </w:r>
      <w:r>
        <w:rPr>
          <w:spacing w:val="-3"/>
          <w:w w:val="105"/>
          <w:shd w:fill="FFFF00" w:color="auto" w:val="clear"/>
        </w:rPr>
        <w:t> </w:t>
      </w:r>
      <w:r>
        <w:rPr>
          <w:w w:val="105"/>
          <w:shd w:fill="FFFF00" w:color="auto" w:val="clear"/>
        </w:rPr>
        <w:t>Achievement</w:t>
      </w:r>
    </w:p>
    <w:p>
      <w:pPr>
        <w:pStyle w:val="BodyText"/>
        <w:spacing w:line="278" w:lineRule="auto" w:before="14"/>
        <w:ind w:left="1204" w:right="862"/>
      </w:pPr>
      <w:r>
        <w:rPr>
          <w:w w:val="105"/>
          <w:shd w:fill="FFFF00" w:color="auto" w:val="clear"/>
        </w:rPr>
        <w:t>Kingsman Academy will monitor and report its progress towards academic progress</w:t>
      </w:r>
      <w:r>
        <w:rPr>
          <w:w w:val="105"/>
        </w:rPr>
        <w:t> </w:t>
      </w:r>
      <w:r>
        <w:rPr>
          <w:w w:val="105"/>
          <w:shd w:fill="FFFF00" w:color="auto" w:val="clear"/>
        </w:rPr>
        <w:t>and/or achievement goal attainment annually as outlined in the school’s approved</w:t>
      </w:r>
      <w:r>
        <w:rPr>
          <w:w w:val="105"/>
        </w:rPr>
        <w:t> </w:t>
      </w:r>
      <w:r>
        <w:rPr>
          <w:w w:val="105"/>
          <w:shd w:fill="FFFF00" w:color="auto" w:val="clear"/>
        </w:rPr>
        <w:t>competency-based application data, collection, and reporting assurances. The school has</w:t>
      </w:r>
      <w:r>
        <w:rPr>
          <w:w w:val="105"/>
        </w:rPr>
        <w:t> </w:t>
      </w:r>
      <w:r>
        <w:rPr>
          <w:w w:val="105"/>
          <w:shd w:fill="FFFF00" w:color="auto" w:val="clear"/>
        </w:rPr>
        <w:t>engaged a 3</w:t>
      </w:r>
      <w:r>
        <w:rPr>
          <w:w w:val="105"/>
          <w:shd w:fill="FFFF00" w:color="auto" w:val="clear"/>
          <w:vertAlign w:val="superscript"/>
        </w:rPr>
        <w:t>rd</w:t>
      </w:r>
      <w:r>
        <w:rPr>
          <w:w w:val="105"/>
          <w:shd w:fill="FFFF00" w:color="auto" w:val="clear"/>
          <w:vertAlign w:val="baseline"/>
        </w:rPr>
        <w:t> party vendor to support academic progress and/or achievement data</w:t>
      </w:r>
      <w:r>
        <w:rPr>
          <w:w w:val="105"/>
          <w:vertAlign w:val="baseline"/>
        </w:rPr>
        <w:t> </w:t>
      </w:r>
      <w:r>
        <w:rPr>
          <w:w w:val="105"/>
          <w:shd w:fill="FFFF00" w:color="auto" w:val="clear"/>
          <w:vertAlign w:val="baseline"/>
        </w:rPr>
        <w:t>collection, monitoring, and annual</w:t>
      </w:r>
      <w:r>
        <w:rPr>
          <w:spacing w:val="2"/>
          <w:w w:val="105"/>
          <w:shd w:fill="FFFF00" w:color="auto" w:val="clear"/>
          <w:vertAlign w:val="baseline"/>
        </w:rPr>
        <w:t> </w:t>
      </w:r>
      <w:r>
        <w:rPr>
          <w:w w:val="105"/>
          <w:shd w:fill="FFFF00" w:color="auto" w:val="clear"/>
          <w:vertAlign w:val="baseline"/>
        </w:rPr>
        <w:t>reporting.</w:t>
      </w:r>
    </w:p>
    <w:p>
      <w:pPr>
        <w:pStyle w:val="Heading2"/>
        <w:spacing w:before="115"/>
        <w:ind w:left="1204"/>
      </w:pPr>
      <w:r>
        <w:rPr>
          <w:w w:val="105"/>
          <w:shd w:fill="FFFF00" w:color="auto" w:val="clear"/>
        </w:rPr>
        <w:t>High School Completion</w:t>
      </w:r>
    </w:p>
    <w:p>
      <w:pPr>
        <w:pStyle w:val="BodyText"/>
        <w:spacing w:line="278" w:lineRule="auto" w:before="14"/>
        <w:ind w:left="1204" w:right="843"/>
      </w:pPr>
      <w:r>
        <w:rPr>
          <w:w w:val="105"/>
          <w:shd w:fill="FFFF00" w:color="auto" w:val="clear"/>
        </w:rPr>
        <w:t>Kingsman Academy will monitor and report its progress towards high school completion</w:t>
      </w:r>
      <w:r>
        <w:rPr>
          <w:w w:val="105"/>
        </w:rPr>
        <w:t> </w:t>
      </w:r>
      <w:r>
        <w:rPr>
          <w:w w:val="105"/>
          <w:shd w:fill="FFFF00" w:color="auto" w:val="clear"/>
        </w:rPr>
        <w:t>goal attainment annually through the OSSE STAR Framework</w:t>
      </w:r>
      <w:r>
        <w:rPr>
          <w:w w:val="105"/>
        </w:rPr>
        <w:t>.</w:t>
      </w:r>
    </w:p>
    <w:p>
      <w:pPr>
        <w:pStyle w:val="Heading2"/>
        <w:spacing w:before="122"/>
        <w:ind w:left="1204"/>
      </w:pPr>
      <w:r>
        <w:rPr>
          <w:w w:val="105"/>
          <w:shd w:fill="FFFF00" w:color="auto" w:val="clear"/>
        </w:rPr>
        <w:t>College/Career Readiness</w:t>
      </w:r>
    </w:p>
    <w:p>
      <w:pPr>
        <w:pStyle w:val="BodyText"/>
        <w:spacing w:line="278" w:lineRule="auto" w:before="9"/>
        <w:ind w:left="1204" w:right="843"/>
      </w:pPr>
      <w:r>
        <w:rPr>
          <w:w w:val="105"/>
          <w:shd w:fill="FFFF00" w:color="auto" w:val="clear"/>
        </w:rPr>
        <w:t>Kingsman Academy will monitor and report its progress towards college and career</w:t>
      </w:r>
      <w:r>
        <w:rPr>
          <w:w w:val="105"/>
        </w:rPr>
        <w:t> </w:t>
      </w:r>
      <w:r>
        <w:rPr>
          <w:w w:val="105"/>
          <w:shd w:fill="FFFF00" w:color="auto" w:val="clear"/>
        </w:rPr>
        <w:t>readiness goal attainment annually as outlined in the school’s approved competency-</w:t>
      </w:r>
      <w:r>
        <w:rPr>
          <w:w w:val="105"/>
        </w:rPr>
        <w:t> </w:t>
      </w:r>
      <w:r>
        <w:rPr>
          <w:w w:val="105"/>
          <w:shd w:fill="FFFF00" w:color="auto" w:val="clear"/>
        </w:rPr>
        <w:t>based application data, collection, and reporting assurances. The school has engaged a</w:t>
      </w:r>
      <w:r>
        <w:rPr>
          <w:w w:val="105"/>
        </w:rPr>
        <w:t> </w:t>
      </w:r>
      <w:r>
        <w:rPr>
          <w:w w:val="105"/>
          <w:shd w:fill="FFFF00" w:color="auto" w:val="clear"/>
        </w:rPr>
        <w:t>3</w:t>
      </w:r>
      <w:r>
        <w:rPr>
          <w:w w:val="105"/>
          <w:shd w:fill="FFFF00" w:color="auto" w:val="clear"/>
          <w:vertAlign w:val="superscript"/>
        </w:rPr>
        <w:t>rd</w:t>
      </w:r>
      <w:r>
        <w:rPr>
          <w:w w:val="105"/>
          <w:shd w:fill="FFFF00" w:color="auto" w:val="clear"/>
          <w:vertAlign w:val="baseline"/>
        </w:rPr>
        <w:t> party vendor to support college/career readiness data collection, monitoring, and</w:t>
      </w:r>
      <w:r>
        <w:rPr>
          <w:w w:val="105"/>
          <w:vertAlign w:val="baseline"/>
        </w:rPr>
        <w:t> </w:t>
      </w:r>
      <w:r>
        <w:rPr>
          <w:w w:val="105"/>
          <w:shd w:fill="FFFF00" w:color="auto" w:val="clear"/>
          <w:vertAlign w:val="baseline"/>
        </w:rPr>
        <w:t>annual reporting.</w:t>
      </w:r>
    </w:p>
    <w:p>
      <w:pPr>
        <w:pStyle w:val="Heading2"/>
        <w:spacing w:before="120"/>
        <w:ind w:left="1204"/>
      </w:pPr>
      <w:r>
        <w:rPr>
          <w:w w:val="105"/>
          <w:shd w:fill="FFFF00" w:color="auto" w:val="clear"/>
        </w:rPr>
        <w:t>Student Engagement</w:t>
      </w:r>
    </w:p>
    <w:p>
      <w:pPr>
        <w:pStyle w:val="BodyText"/>
        <w:spacing w:line="278" w:lineRule="auto" w:before="9"/>
        <w:ind w:left="1204" w:right="843"/>
      </w:pPr>
      <w:r>
        <w:rPr>
          <w:w w:val="105"/>
          <w:shd w:fill="FFFF00" w:color="auto" w:val="clear"/>
        </w:rPr>
        <w:t>Kingsman Academy has engaged a 3</w:t>
      </w:r>
      <w:r>
        <w:rPr>
          <w:w w:val="105"/>
          <w:shd w:fill="FFFF00" w:color="auto" w:val="clear"/>
          <w:vertAlign w:val="superscript"/>
        </w:rPr>
        <w:t>rd</w:t>
      </w:r>
      <w:r>
        <w:rPr>
          <w:w w:val="105"/>
          <w:shd w:fill="FFFF00" w:color="auto" w:val="clear"/>
          <w:vertAlign w:val="baseline"/>
        </w:rPr>
        <w:t> party vendor to monitor and report its progress</w:t>
      </w:r>
      <w:r>
        <w:rPr>
          <w:w w:val="105"/>
          <w:vertAlign w:val="baseline"/>
        </w:rPr>
        <w:t> </w:t>
      </w:r>
      <w:r>
        <w:rPr>
          <w:w w:val="105"/>
          <w:shd w:fill="FFFF00" w:color="auto" w:val="clear"/>
          <w:vertAlign w:val="baseline"/>
        </w:rPr>
        <w:t>towards student engagement goal attainment.</w:t>
      </w:r>
    </w:p>
    <w:p>
      <w:pPr>
        <w:spacing w:after="0" w:line="278" w:lineRule="auto"/>
        <w:sectPr>
          <w:pgSz w:w="12240" w:h="15840"/>
          <w:pgMar w:header="659" w:footer="0" w:top="1400" w:bottom="280" w:left="600" w:right="600"/>
        </w:sectPr>
      </w:pPr>
    </w:p>
    <w:p>
      <w:pPr>
        <w:pStyle w:val="BodyText"/>
        <w:rPr>
          <w:sz w:val="20"/>
        </w:rPr>
      </w:pPr>
    </w:p>
    <w:p>
      <w:pPr>
        <w:pStyle w:val="BodyText"/>
        <w:rPr>
          <w:sz w:val="20"/>
        </w:rPr>
      </w:pPr>
    </w:p>
    <w:p>
      <w:pPr>
        <w:pStyle w:val="BodyText"/>
        <w:spacing w:before="5"/>
        <w:rPr>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4"/>
        <w:gridCol w:w="3871"/>
        <w:gridCol w:w="4321"/>
      </w:tblGrid>
      <w:tr>
        <w:trPr>
          <w:trHeight w:val="440" w:hRule="atLeast"/>
        </w:trPr>
        <w:tc>
          <w:tcPr>
            <w:tcW w:w="2604" w:type="dxa"/>
            <w:shd w:val="clear" w:color="auto" w:fill="1A406D"/>
          </w:tcPr>
          <w:p>
            <w:pPr>
              <w:pStyle w:val="TableParagraph"/>
              <w:ind w:left="929"/>
              <w:rPr>
                <w:b/>
                <w:sz w:val="18"/>
              </w:rPr>
            </w:pPr>
            <w:bookmarkStart w:name="PH Kingsman Amendment Proposal ZAT C DRA" w:id="3"/>
            <w:bookmarkEnd w:id="3"/>
            <w:r>
              <w:rPr/>
            </w:r>
            <w:r>
              <w:rPr>
                <w:b/>
                <w:color w:val="FFFFFF"/>
                <w:sz w:val="18"/>
              </w:rPr>
              <w:t>Measure</w:t>
            </w:r>
          </w:p>
        </w:tc>
        <w:tc>
          <w:tcPr>
            <w:tcW w:w="3871" w:type="dxa"/>
            <w:shd w:val="clear" w:color="auto" w:fill="1A406D"/>
          </w:tcPr>
          <w:p>
            <w:pPr>
              <w:pStyle w:val="TableParagraph"/>
              <w:ind w:left="1657" w:right="1646"/>
              <w:jc w:val="center"/>
              <w:rPr>
                <w:b/>
                <w:sz w:val="18"/>
              </w:rPr>
            </w:pPr>
            <w:r>
              <w:rPr>
                <w:b/>
                <w:color w:val="FFFFFF"/>
                <w:sz w:val="18"/>
              </w:rPr>
              <w:t>Goals</w:t>
            </w:r>
          </w:p>
        </w:tc>
        <w:tc>
          <w:tcPr>
            <w:tcW w:w="4321" w:type="dxa"/>
            <w:shd w:val="clear" w:color="auto" w:fill="1A406D"/>
          </w:tcPr>
          <w:p>
            <w:pPr>
              <w:pStyle w:val="TableParagraph"/>
              <w:ind w:left="88" w:right="77"/>
              <w:jc w:val="center"/>
              <w:rPr>
                <w:b/>
                <w:sz w:val="18"/>
              </w:rPr>
            </w:pPr>
            <w:r>
              <w:rPr>
                <w:b/>
                <w:color w:val="FFFFFF"/>
                <w:sz w:val="18"/>
              </w:rPr>
              <w:t>Business Rules</w:t>
            </w:r>
          </w:p>
        </w:tc>
      </w:tr>
      <w:tr>
        <w:trPr>
          <w:trHeight w:val="4830" w:hRule="atLeast"/>
        </w:trPr>
        <w:tc>
          <w:tcPr>
            <w:tcW w:w="2604" w:type="dxa"/>
            <w:vMerge w:val="restart"/>
          </w:tcPr>
          <w:p>
            <w:pPr>
              <w:pStyle w:val="TableParagraph"/>
              <w:ind w:left="108" w:right="144"/>
              <w:rPr>
                <w:b/>
                <w:sz w:val="18"/>
              </w:rPr>
            </w:pPr>
            <w:r>
              <w:rPr>
                <w:b/>
                <w:sz w:val="18"/>
              </w:rPr>
              <w:t>Student Progress and/or Achievement</w:t>
            </w:r>
          </w:p>
        </w:tc>
        <w:tc>
          <w:tcPr>
            <w:tcW w:w="3871" w:type="dxa"/>
          </w:tcPr>
          <w:p>
            <w:pPr>
              <w:pStyle w:val="TableParagraph"/>
              <w:tabs>
                <w:tab w:pos="544" w:val="left" w:leader="none"/>
              </w:tabs>
              <w:ind w:left="544" w:right="138" w:hanging="360"/>
              <w:rPr>
                <w:sz w:val="18"/>
              </w:rPr>
            </w:pPr>
            <w:r>
              <w:rPr>
                <w:color w:val="323232"/>
                <w:sz w:val="18"/>
              </w:rPr>
              <w:t>1.</w:t>
              <w:tab/>
              <w:t>60% percent of learners complete and/or advance at least one academic functioning level (AFL)</w:t>
            </w:r>
            <w:r>
              <w:rPr>
                <w:color w:val="323232"/>
                <w:spacing w:val="-22"/>
                <w:sz w:val="18"/>
              </w:rPr>
              <w:t> </w:t>
            </w:r>
            <w:r>
              <w:rPr>
                <w:color w:val="323232"/>
                <w:sz w:val="18"/>
              </w:rPr>
              <w:t>in math</w:t>
            </w:r>
          </w:p>
        </w:tc>
        <w:tc>
          <w:tcPr>
            <w:tcW w:w="4321" w:type="dxa"/>
          </w:tcPr>
          <w:p>
            <w:pPr>
              <w:pStyle w:val="TableParagraph"/>
              <w:ind w:left="88" w:right="3043"/>
              <w:jc w:val="center"/>
              <w:rPr>
                <w:b/>
                <w:sz w:val="18"/>
              </w:rPr>
            </w:pPr>
            <w:r>
              <w:rPr>
                <w:b/>
                <w:sz w:val="18"/>
              </w:rPr>
              <w:t>Math Metric</w:t>
            </w:r>
          </w:p>
          <w:p>
            <w:pPr>
              <w:pStyle w:val="TableParagraph"/>
              <w:spacing w:before="1"/>
              <w:ind w:left="153" w:right="142"/>
              <w:jc w:val="center"/>
              <w:rPr>
                <w:i/>
                <w:sz w:val="18"/>
              </w:rPr>
            </w:pPr>
            <w:r>
              <w:rPr>
                <w:i/>
                <w:color w:val="323232"/>
                <w:sz w:val="18"/>
              </w:rPr>
              <w:t>Numbers of learners completing or advancing one Academic Functioning Level target in math</w:t>
            </w:r>
          </w:p>
          <w:p>
            <w:pPr>
              <w:pStyle w:val="TableParagraph"/>
              <w:spacing w:before="2"/>
              <w:rPr>
                <w:rFonts w:ascii="Verdana"/>
                <w:sz w:val="14"/>
              </w:rPr>
            </w:pPr>
          </w:p>
          <w:p>
            <w:pPr>
              <w:pStyle w:val="TableParagraph"/>
              <w:spacing w:line="20" w:lineRule="exact"/>
              <w:ind w:left="1030"/>
              <w:rPr>
                <w:rFonts w:ascii="Verdana"/>
                <w:sz w:val="2"/>
              </w:rPr>
            </w:pPr>
            <w:r>
              <w:rPr>
                <w:rFonts w:ascii="Verdana"/>
                <w:sz w:val="2"/>
              </w:rPr>
              <w:pict>
                <v:group style="width:112.5pt;height:.45pt;mso-position-horizontal-relative:char;mso-position-vertical-relative:line" coordorigin="0,0" coordsize="2250,9">
                  <v:line style="position:absolute" from="0,4" to="2250,4" stroked="true" strokeweight=".432pt" strokecolor="#313131">
                    <v:stroke dashstyle="solid"/>
                  </v:line>
                </v:group>
              </w:pict>
            </w:r>
            <w:r>
              <w:rPr>
                <w:rFonts w:ascii="Verdana"/>
                <w:sz w:val="2"/>
              </w:rPr>
            </w:r>
          </w:p>
          <w:p>
            <w:pPr>
              <w:pStyle w:val="TableParagraph"/>
              <w:spacing w:before="2"/>
              <w:rPr>
                <w:rFonts w:ascii="Verdana"/>
                <w:sz w:val="20"/>
              </w:rPr>
            </w:pPr>
          </w:p>
          <w:p>
            <w:pPr>
              <w:pStyle w:val="TableParagraph"/>
              <w:ind w:left="88" w:right="79"/>
              <w:jc w:val="center"/>
              <w:rPr>
                <w:i/>
                <w:sz w:val="18"/>
              </w:rPr>
            </w:pPr>
            <w:r>
              <w:rPr>
                <w:i/>
                <w:color w:val="323232"/>
                <w:sz w:val="18"/>
              </w:rPr>
              <w:t>Numbers of FAY Students</w:t>
            </w:r>
          </w:p>
          <w:p>
            <w:pPr>
              <w:pStyle w:val="TableParagraph"/>
              <w:rPr>
                <w:rFonts w:ascii="Verdana"/>
                <w:sz w:val="22"/>
              </w:rPr>
            </w:pPr>
          </w:p>
          <w:p>
            <w:pPr>
              <w:pStyle w:val="TableParagraph"/>
              <w:spacing w:before="6"/>
              <w:rPr>
                <w:rFonts w:ascii="Verdana"/>
                <w:sz w:val="19"/>
              </w:rPr>
            </w:pPr>
          </w:p>
          <w:p>
            <w:pPr>
              <w:pStyle w:val="TableParagraph"/>
              <w:ind w:left="108"/>
              <w:rPr>
                <w:b/>
                <w:sz w:val="18"/>
              </w:rPr>
            </w:pPr>
            <w:r>
              <w:rPr>
                <w:b/>
                <w:sz w:val="18"/>
              </w:rPr>
              <w:t>Assessments</w:t>
            </w:r>
          </w:p>
          <w:p>
            <w:pPr>
              <w:pStyle w:val="TableParagraph"/>
              <w:spacing w:line="276" w:lineRule="auto" w:before="34"/>
              <w:ind w:left="108" w:right="703"/>
              <w:rPr>
                <w:sz w:val="18"/>
              </w:rPr>
            </w:pPr>
            <w:r>
              <w:rPr>
                <w:sz w:val="18"/>
              </w:rPr>
              <w:t>Students will be assessed on Scantron, Accuplacer, or STAR</w:t>
            </w:r>
          </w:p>
          <w:p>
            <w:pPr>
              <w:pStyle w:val="TableParagraph"/>
              <w:spacing w:before="8"/>
              <w:rPr>
                <w:rFonts w:ascii="Verdana"/>
                <w:sz w:val="20"/>
              </w:rPr>
            </w:pPr>
          </w:p>
          <w:p>
            <w:pPr>
              <w:pStyle w:val="TableParagraph"/>
              <w:ind w:left="108"/>
              <w:rPr>
                <w:b/>
                <w:sz w:val="18"/>
              </w:rPr>
            </w:pPr>
            <w:r>
              <w:rPr>
                <w:b/>
                <w:sz w:val="18"/>
              </w:rPr>
              <w:t>Note</w:t>
            </w:r>
          </w:p>
          <w:p>
            <w:pPr>
              <w:pStyle w:val="TableParagraph"/>
              <w:numPr>
                <w:ilvl w:val="0"/>
                <w:numId w:val="9"/>
              </w:numPr>
              <w:tabs>
                <w:tab w:pos="539" w:val="left" w:leader="none"/>
                <w:tab w:pos="540" w:val="left" w:leader="none"/>
              </w:tabs>
              <w:spacing w:line="276" w:lineRule="auto" w:before="41" w:after="0"/>
              <w:ind w:left="540" w:right="376" w:hanging="360"/>
              <w:jc w:val="left"/>
              <w:rPr>
                <w:sz w:val="18"/>
              </w:rPr>
            </w:pPr>
            <w:r>
              <w:rPr>
                <w:sz w:val="18"/>
              </w:rPr>
              <w:t>Students whose pre-test academic functioning level is a 6 must maintain the same level at the</w:t>
            </w:r>
            <w:r>
              <w:rPr>
                <w:spacing w:val="-10"/>
                <w:sz w:val="18"/>
              </w:rPr>
              <w:t> </w:t>
            </w:r>
            <w:r>
              <w:rPr>
                <w:sz w:val="18"/>
              </w:rPr>
              <w:t>post-test.</w:t>
            </w:r>
          </w:p>
          <w:p>
            <w:pPr>
              <w:pStyle w:val="TableParagraph"/>
              <w:numPr>
                <w:ilvl w:val="0"/>
                <w:numId w:val="9"/>
              </w:numPr>
              <w:tabs>
                <w:tab w:pos="539" w:val="left" w:leader="none"/>
                <w:tab w:pos="540" w:val="left" w:leader="none"/>
              </w:tabs>
              <w:spacing w:line="276" w:lineRule="auto" w:before="6" w:after="0"/>
              <w:ind w:left="540" w:right="545" w:hanging="360"/>
              <w:jc w:val="left"/>
              <w:rPr>
                <w:sz w:val="18"/>
              </w:rPr>
            </w:pPr>
            <w:r>
              <w:rPr>
                <w:sz w:val="18"/>
              </w:rPr>
              <w:t>Students are assessed for academic functioning levels in multiple</w:t>
            </w:r>
            <w:r>
              <w:rPr>
                <w:spacing w:val="-18"/>
                <w:sz w:val="18"/>
              </w:rPr>
              <w:t> </w:t>
            </w:r>
            <w:r>
              <w:rPr>
                <w:sz w:val="18"/>
              </w:rPr>
              <w:t>ways,</w:t>
            </w:r>
          </w:p>
          <w:p>
            <w:pPr>
              <w:pStyle w:val="TableParagraph"/>
              <w:spacing w:line="219" w:lineRule="exact"/>
              <w:ind w:left="540"/>
              <w:rPr>
                <w:sz w:val="18"/>
              </w:rPr>
            </w:pPr>
            <w:r>
              <w:rPr>
                <w:sz w:val="18"/>
              </w:rPr>
              <w:t>aligned to the school’s academic model.</w:t>
            </w:r>
          </w:p>
        </w:tc>
      </w:tr>
      <w:tr>
        <w:trPr>
          <w:trHeight w:val="4829" w:hRule="atLeast"/>
        </w:trPr>
        <w:tc>
          <w:tcPr>
            <w:tcW w:w="2604" w:type="dxa"/>
            <w:vMerge/>
            <w:tcBorders>
              <w:top w:val="nil"/>
            </w:tcBorders>
          </w:tcPr>
          <w:p>
            <w:pPr>
              <w:rPr>
                <w:sz w:val="2"/>
                <w:szCs w:val="2"/>
              </w:rPr>
            </w:pPr>
          </w:p>
        </w:tc>
        <w:tc>
          <w:tcPr>
            <w:tcW w:w="3871" w:type="dxa"/>
          </w:tcPr>
          <w:p>
            <w:pPr>
              <w:pStyle w:val="TableParagraph"/>
              <w:tabs>
                <w:tab w:pos="544" w:val="left" w:leader="none"/>
              </w:tabs>
              <w:ind w:left="544" w:right="274" w:hanging="360"/>
              <w:rPr>
                <w:sz w:val="18"/>
              </w:rPr>
            </w:pPr>
            <w:r>
              <w:rPr>
                <w:color w:val="323232"/>
                <w:sz w:val="18"/>
              </w:rPr>
              <w:t>2.</w:t>
              <w:tab/>
              <w:t>60% percent of learners complete and/or advance at least one academic functioning level in reading</w:t>
            </w:r>
          </w:p>
        </w:tc>
        <w:tc>
          <w:tcPr>
            <w:tcW w:w="4321" w:type="dxa"/>
          </w:tcPr>
          <w:p>
            <w:pPr>
              <w:pStyle w:val="TableParagraph"/>
              <w:spacing w:line="219" w:lineRule="exact"/>
              <w:ind w:left="88" w:right="2741"/>
              <w:jc w:val="center"/>
              <w:rPr>
                <w:b/>
                <w:sz w:val="18"/>
              </w:rPr>
            </w:pPr>
            <w:r>
              <w:rPr>
                <w:b/>
                <w:sz w:val="18"/>
              </w:rPr>
              <w:t>Reading Metric</w:t>
            </w:r>
          </w:p>
          <w:p>
            <w:pPr>
              <w:pStyle w:val="TableParagraph"/>
              <w:ind w:left="153" w:right="142"/>
              <w:jc w:val="center"/>
              <w:rPr>
                <w:i/>
                <w:sz w:val="18"/>
              </w:rPr>
            </w:pPr>
            <w:r>
              <w:rPr>
                <w:i/>
                <w:color w:val="323232"/>
                <w:sz w:val="18"/>
              </w:rPr>
              <w:t>Numbers of learners completing or advancing one Academic Functioning Level target in math</w:t>
            </w:r>
          </w:p>
          <w:p>
            <w:pPr>
              <w:pStyle w:val="TableParagraph"/>
              <w:spacing w:before="2" w:after="1"/>
              <w:rPr>
                <w:rFonts w:ascii="Verdana"/>
                <w:sz w:val="14"/>
              </w:rPr>
            </w:pPr>
          </w:p>
          <w:p>
            <w:pPr>
              <w:pStyle w:val="TableParagraph"/>
              <w:spacing w:line="20" w:lineRule="exact"/>
              <w:ind w:left="1030"/>
              <w:rPr>
                <w:rFonts w:ascii="Verdana"/>
                <w:sz w:val="2"/>
              </w:rPr>
            </w:pPr>
            <w:r>
              <w:rPr>
                <w:rFonts w:ascii="Verdana"/>
                <w:sz w:val="2"/>
              </w:rPr>
              <w:pict>
                <v:group style="width:112.5pt;height:.45pt;mso-position-horizontal-relative:char;mso-position-vertical-relative:line" coordorigin="0,0" coordsize="2250,9">
                  <v:line style="position:absolute" from="0,4" to="2250,4" stroked="true" strokeweight=".432pt" strokecolor="#313131">
                    <v:stroke dashstyle="solid"/>
                  </v:line>
                </v:group>
              </w:pict>
            </w:r>
            <w:r>
              <w:rPr>
                <w:rFonts w:ascii="Verdana"/>
                <w:sz w:val="2"/>
              </w:rPr>
            </w:r>
          </w:p>
          <w:p>
            <w:pPr>
              <w:pStyle w:val="TableParagraph"/>
              <w:spacing w:before="2"/>
              <w:rPr>
                <w:rFonts w:ascii="Verdana"/>
                <w:sz w:val="20"/>
              </w:rPr>
            </w:pPr>
          </w:p>
          <w:p>
            <w:pPr>
              <w:pStyle w:val="TableParagraph"/>
              <w:ind w:left="88" w:right="79"/>
              <w:jc w:val="center"/>
              <w:rPr>
                <w:i/>
                <w:sz w:val="18"/>
              </w:rPr>
            </w:pPr>
            <w:r>
              <w:rPr>
                <w:i/>
                <w:color w:val="323232"/>
                <w:sz w:val="18"/>
              </w:rPr>
              <w:t>Numbers of FAY Students</w:t>
            </w:r>
          </w:p>
          <w:p>
            <w:pPr>
              <w:pStyle w:val="TableParagraph"/>
              <w:rPr>
                <w:rFonts w:ascii="Verdana"/>
                <w:sz w:val="22"/>
              </w:rPr>
            </w:pPr>
          </w:p>
          <w:p>
            <w:pPr>
              <w:pStyle w:val="TableParagraph"/>
              <w:spacing w:before="6"/>
              <w:rPr>
                <w:rFonts w:ascii="Verdana"/>
                <w:sz w:val="19"/>
              </w:rPr>
            </w:pPr>
          </w:p>
          <w:p>
            <w:pPr>
              <w:pStyle w:val="TableParagraph"/>
              <w:ind w:left="107"/>
              <w:rPr>
                <w:b/>
                <w:sz w:val="18"/>
              </w:rPr>
            </w:pPr>
            <w:r>
              <w:rPr>
                <w:b/>
                <w:sz w:val="18"/>
              </w:rPr>
              <w:t>Assessments</w:t>
            </w:r>
          </w:p>
          <w:p>
            <w:pPr>
              <w:pStyle w:val="TableParagraph"/>
              <w:spacing w:line="276" w:lineRule="auto" w:before="34"/>
              <w:ind w:left="107" w:right="704"/>
              <w:rPr>
                <w:sz w:val="18"/>
              </w:rPr>
            </w:pPr>
            <w:r>
              <w:rPr>
                <w:sz w:val="18"/>
              </w:rPr>
              <w:t>Students will be assessed on Scantron, Accuplacer, or STAR</w:t>
            </w:r>
          </w:p>
          <w:p>
            <w:pPr>
              <w:pStyle w:val="TableParagraph"/>
              <w:spacing w:before="9"/>
              <w:rPr>
                <w:rFonts w:ascii="Verdana"/>
                <w:sz w:val="20"/>
              </w:rPr>
            </w:pPr>
          </w:p>
          <w:p>
            <w:pPr>
              <w:pStyle w:val="TableParagraph"/>
              <w:ind w:left="107"/>
              <w:rPr>
                <w:b/>
                <w:sz w:val="18"/>
              </w:rPr>
            </w:pPr>
            <w:r>
              <w:rPr>
                <w:b/>
                <w:sz w:val="18"/>
              </w:rPr>
              <w:t>Note</w:t>
            </w:r>
          </w:p>
          <w:p>
            <w:pPr>
              <w:pStyle w:val="TableParagraph"/>
              <w:numPr>
                <w:ilvl w:val="0"/>
                <w:numId w:val="10"/>
              </w:numPr>
              <w:tabs>
                <w:tab w:pos="539" w:val="left" w:leader="none"/>
                <w:tab w:pos="540" w:val="left" w:leader="none"/>
              </w:tabs>
              <w:spacing w:line="276" w:lineRule="auto" w:before="40" w:after="0"/>
              <w:ind w:left="539" w:right="376" w:hanging="360"/>
              <w:jc w:val="left"/>
              <w:rPr>
                <w:sz w:val="18"/>
              </w:rPr>
            </w:pPr>
            <w:r>
              <w:rPr>
                <w:sz w:val="18"/>
              </w:rPr>
              <w:t>Students whose pre-test academic functioning level is a 6 must maintain the same level at the</w:t>
            </w:r>
            <w:r>
              <w:rPr>
                <w:spacing w:val="-10"/>
                <w:sz w:val="18"/>
              </w:rPr>
              <w:t> </w:t>
            </w:r>
            <w:r>
              <w:rPr>
                <w:sz w:val="18"/>
              </w:rPr>
              <w:t>post-test.</w:t>
            </w:r>
          </w:p>
          <w:p>
            <w:pPr>
              <w:pStyle w:val="TableParagraph"/>
              <w:numPr>
                <w:ilvl w:val="0"/>
                <w:numId w:val="10"/>
              </w:numPr>
              <w:tabs>
                <w:tab w:pos="539" w:val="left" w:leader="none"/>
                <w:tab w:pos="540" w:val="left" w:leader="none"/>
              </w:tabs>
              <w:spacing w:line="276" w:lineRule="auto" w:before="6" w:after="0"/>
              <w:ind w:left="539" w:right="545" w:hanging="360"/>
              <w:jc w:val="left"/>
              <w:rPr>
                <w:sz w:val="18"/>
              </w:rPr>
            </w:pPr>
            <w:r>
              <w:rPr>
                <w:sz w:val="18"/>
              </w:rPr>
              <w:t>Students are assessed for academic functioning levels in multiple</w:t>
            </w:r>
            <w:r>
              <w:rPr>
                <w:spacing w:val="-18"/>
                <w:sz w:val="18"/>
              </w:rPr>
              <w:t> </w:t>
            </w:r>
            <w:r>
              <w:rPr>
                <w:sz w:val="18"/>
              </w:rPr>
              <w:t>ways,</w:t>
            </w:r>
          </w:p>
          <w:p>
            <w:pPr>
              <w:pStyle w:val="TableParagraph"/>
              <w:spacing w:line="219" w:lineRule="exact"/>
              <w:ind w:left="539"/>
              <w:rPr>
                <w:sz w:val="18"/>
              </w:rPr>
            </w:pPr>
            <w:r>
              <w:rPr>
                <w:sz w:val="18"/>
              </w:rPr>
              <w:t>aligned to the school’s academic model.</w:t>
            </w:r>
          </w:p>
        </w:tc>
      </w:tr>
      <w:tr>
        <w:trPr>
          <w:trHeight w:val="2479" w:hRule="atLeast"/>
        </w:trPr>
        <w:tc>
          <w:tcPr>
            <w:tcW w:w="2604" w:type="dxa"/>
            <w:vMerge/>
            <w:tcBorders>
              <w:top w:val="nil"/>
            </w:tcBorders>
          </w:tcPr>
          <w:p>
            <w:pPr>
              <w:rPr>
                <w:sz w:val="2"/>
                <w:szCs w:val="2"/>
              </w:rPr>
            </w:pPr>
          </w:p>
        </w:tc>
        <w:tc>
          <w:tcPr>
            <w:tcW w:w="3871" w:type="dxa"/>
          </w:tcPr>
          <w:p>
            <w:pPr>
              <w:pStyle w:val="TableParagraph"/>
              <w:tabs>
                <w:tab w:pos="544" w:val="left" w:leader="none"/>
              </w:tabs>
              <w:ind w:left="544" w:right="115" w:hanging="360"/>
              <w:rPr>
                <w:sz w:val="18"/>
              </w:rPr>
            </w:pPr>
            <w:r>
              <w:rPr>
                <w:color w:val="323232"/>
                <w:sz w:val="18"/>
              </w:rPr>
              <w:t>3.</w:t>
              <w:tab/>
              <w:t>80% of learners who do not meet their AFL growth target, but demonstrate academic persistence by completing a personalized learning</w:t>
            </w:r>
            <w:r>
              <w:rPr>
                <w:color w:val="323232"/>
                <w:spacing w:val="-2"/>
                <w:sz w:val="18"/>
              </w:rPr>
              <w:t> </w:t>
            </w:r>
            <w:r>
              <w:rPr>
                <w:color w:val="323232"/>
                <w:sz w:val="18"/>
              </w:rPr>
              <w:t>plan</w:t>
            </w:r>
          </w:p>
        </w:tc>
        <w:tc>
          <w:tcPr>
            <w:tcW w:w="4321" w:type="dxa"/>
          </w:tcPr>
          <w:p>
            <w:pPr>
              <w:pStyle w:val="TableParagraph"/>
              <w:spacing w:line="219" w:lineRule="exact"/>
              <w:ind w:left="108"/>
              <w:rPr>
                <w:b/>
                <w:sz w:val="18"/>
              </w:rPr>
            </w:pPr>
            <w:r>
              <w:rPr>
                <w:b/>
                <w:sz w:val="18"/>
              </w:rPr>
              <w:t>Metric</w:t>
            </w:r>
          </w:p>
          <w:p>
            <w:pPr>
              <w:pStyle w:val="TableParagraph"/>
              <w:spacing w:before="1"/>
              <w:rPr>
                <w:rFonts w:ascii="Verdana"/>
                <w:sz w:val="18"/>
              </w:rPr>
            </w:pPr>
          </w:p>
          <w:p>
            <w:pPr>
              <w:pStyle w:val="TableParagraph"/>
              <w:ind w:left="88" w:right="78"/>
              <w:jc w:val="center"/>
              <w:rPr>
                <w:i/>
                <w:sz w:val="18"/>
              </w:rPr>
            </w:pPr>
            <w:r>
              <w:rPr>
                <w:i/>
                <w:color w:val="323232"/>
                <w:sz w:val="18"/>
              </w:rPr>
              <w:t>Number of learners who complete a personalized learning plan</w:t>
            </w:r>
          </w:p>
          <w:p>
            <w:pPr>
              <w:pStyle w:val="TableParagraph"/>
              <w:spacing w:before="2"/>
              <w:rPr>
                <w:rFonts w:ascii="Verdana"/>
                <w:sz w:val="14"/>
              </w:rPr>
            </w:pPr>
          </w:p>
          <w:p>
            <w:pPr>
              <w:pStyle w:val="TableParagraph"/>
              <w:spacing w:line="20" w:lineRule="exact"/>
              <w:ind w:left="895"/>
              <w:rPr>
                <w:rFonts w:ascii="Verdana"/>
                <w:sz w:val="2"/>
              </w:rPr>
            </w:pPr>
            <w:r>
              <w:rPr>
                <w:rFonts w:ascii="Verdana"/>
                <w:sz w:val="2"/>
              </w:rPr>
              <w:pict>
                <v:group style="width:126pt;height:.45pt;mso-position-horizontal-relative:char;mso-position-vertical-relative:line" coordorigin="0,0" coordsize="2520,9">
                  <v:line style="position:absolute" from="0,4" to="2520,4" stroked="true" strokeweight=".432pt" strokecolor="#313131">
                    <v:stroke dashstyle="solid"/>
                  </v:line>
                </v:group>
              </w:pict>
            </w:r>
            <w:r>
              <w:rPr>
                <w:rFonts w:ascii="Verdana"/>
                <w:sz w:val="2"/>
              </w:rPr>
            </w:r>
          </w:p>
          <w:p>
            <w:pPr>
              <w:pStyle w:val="TableParagraph"/>
              <w:spacing w:before="2"/>
              <w:rPr>
                <w:rFonts w:ascii="Verdana"/>
                <w:sz w:val="20"/>
              </w:rPr>
            </w:pPr>
          </w:p>
          <w:p>
            <w:pPr>
              <w:pStyle w:val="TableParagraph"/>
              <w:ind w:left="228" w:right="216" w:hanging="3"/>
              <w:jc w:val="center"/>
              <w:rPr>
                <w:i/>
                <w:sz w:val="18"/>
              </w:rPr>
            </w:pPr>
            <w:r>
              <w:rPr>
                <w:i/>
                <w:color w:val="323232"/>
                <w:sz w:val="18"/>
              </w:rPr>
              <w:t>Number of learners who do not meet their EFL growth target in reading and/or math</w:t>
            </w:r>
          </w:p>
          <w:p>
            <w:pPr>
              <w:pStyle w:val="TableParagraph"/>
              <w:rPr>
                <w:rFonts w:ascii="Verdana"/>
                <w:sz w:val="22"/>
              </w:rPr>
            </w:pPr>
          </w:p>
          <w:p>
            <w:pPr>
              <w:pStyle w:val="TableParagraph"/>
              <w:spacing w:before="6"/>
              <w:rPr>
                <w:rFonts w:ascii="Verdana"/>
                <w:sz w:val="19"/>
              </w:rPr>
            </w:pPr>
          </w:p>
          <w:p>
            <w:pPr>
              <w:pStyle w:val="TableParagraph"/>
              <w:spacing w:line="201" w:lineRule="exact"/>
              <w:ind w:left="108"/>
              <w:rPr>
                <w:b/>
                <w:sz w:val="18"/>
              </w:rPr>
            </w:pPr>
            <w:r>
              <w:rPr>
                <w:b/>
                <w:sz w:val="18"/>
              </w:rPr>
              <w:t>Additional Notes</w:t>
            </w:r>
          </w:p>
        </w:tc>
      </w:tr>
    </w:tbl>
    <w:p>
      <w:pPr>
        <w:spacing w:after="0" w:line="201" w:lineRule="exact"/>
        <w:rPr>
          <w:sz w:val="18"/>
        </w:rPr>
        <w:sectPr>
          <w:headerReference w:type="default" r:id="rId10"/>
          <w:pgSz w:w="12240" w:h="15840"/>
          <w:pgMar w:header="768" w:footer="0" w:top="1000" w:bottom="280" w:left="600" w:right="600"/>
        </w:sectPr>
      </w:pPr>
    </w:p>
    <w:p>
      <w:pPr>
        <w:pStyle w:val="BodyText"/>
        <w:rPr>
          <w:sz w:val="20"/>
        </w:rPr>
      </w:pPr>
      <w:r>
        <w:rPr/>
        <w:pict>
          <v:line style="position:absolute;mso-position-horizontal-relative:page;mso-position-vertical-relative:page;z-index:-16081920" from="393.961487pt,323.676605pt" to="560.456989pt,323.676605pt" stroked="true" strokeweight=".432pt" strokecolor="#000000">
            <v:stroke dashstyle="solid"/>
            <w10:wrap type="none"/>
          </v:line>
        </w:pict>
      </w:r>
    </w:p>
    <w:p>
      <w:pPr>
        <w:pStyle w:val="BodyText"/>
        <w:spacing w:before="6"/>
        <w:rPr>
          <w:sz w:val="1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4"/>
        <w:gridCol w:w="3871"/>
        <w:gridCol w:w="4321"/>
      </w:tblGrid>
      <w:tr>
        <w:trPr>
          <w:trHeight w:val="2665" w:hRule="atLeast"/>
        </w:trPr>
        <w:tc>
          <w:tcPr>
            <w:tcW w:w="2604" w:type="dxa"/>
          </w:tcPr>
          <w:p>
            <w:pPr>
              <w:pStyle w:val="TableParagraph"/>
              <w:rPr>
                <w:rFonts w:ascii="Times New Roman"/>
                <w:sz w:val="18"/>
              </w:rPr>
            </w:pPr>
          </w:p>
        </w:tc>
        <w:tc>
          <w:tcPr>
            <w:tcW w:w="3871" w:type="dxa"/>
          </w:tcPr>
          <w:p>
            <w:pPr>
              <w:pStyle w:val="TableParagraph"/>
              <w:rPr>
                <w:rFonts w:ascii="Times New Roman"/>
                <w:sz w:val="18"/>
              </w:rPr>
            </w:pPr>
          </w:p>
        </w:tc>
        <w:tc>
          <w:tcPr>
            <w:tcW w:w="4321" w:type="dxa"/>
          </w:tcPr>
          <w:p>
            <w:pPr>
              <w:pStyle w:val="TableParagraph"/>
              <w:numPr>
                <w:ilvl w:val="0"/>
                <w:numId w:val="11"/>
              </w:numPr>
              <w:tabs>
                <w:tab w:pos="827" w:val="left" w:leader="none"/>
                <w:tab w:pos="828" w:val="left" w:leader="none"/>
              </w:tabs>
              <w:spacing w:line="240" w:lineRule="auto" w:before="0" w:after="0"/>
              <w:ind w:left="828" w:right="609" w:hanging="360"/>
              <w:jc w:val="left"/>
              <w:rPr>
                <w:sz w:val="18"/>
              </w:rPr>
            </w:pPr>
            <w:r>
              <w:rPr>
                <w:sz w:val="18"/>
              </w:rPr>
              <w:t>Evidence: Personalized </w:t>
            </w:r>
            <w:r>
              <w:rPr>
                <w:spacing w:val="-3"/>
                <w:sz w:val="18"/>
              </w:rPr>
              <w:t>learning </w:t>
            </w:r>
            <w:r>
              <w:rPr>
                <w:sz w:val="18"/>
              </w:rPr>
              <w:t>plans</w:t>
            </w:r>
          </w:p>
          <w:p>
            <w:pPr>
              <w:pStyle w:val="TableParagraph"/>
              <w:numPr>
                <w:ilvl w:val="0"/>
                <w:numId w:val="11"/>
              </w:numPr>
              <w:tabs>
                <w:tab w:pos="827" w:val="left" w:leader="none"/>
                <w:tab w:pos="828" w:val="left" w:leader="none"/>
              </w:tabs>
              <w:spacing w:line="240" w:lineRule="auto" w:before="0" w:after="0"/>
              <w:ind w:left="828" w:right="186" w:hanging="360"/>
              <w:jc w:val="left"/>
              <w:rPr>
                <w:sz w:val="18"/>
              </w:rPr>
            </w:pPr>
            <w:r>
              <w:rPr>
                <w:sz w:val="18"/>
              </w:rPr>
              <w:t>Full Academic Year (FAY) at the school level for the state assessment released annually by OSSE for all students will be included in this metric</w:t>
            </w:r>
          </w:p>
          <w:p>
            <w:pPr>
              <w:pStyle w:val="TableParagraph"/>
              <w:rPr>
                <w:rFonts w:ascii="Verdana"/>
                <w:sz w:val="18"/>
              </w:rPr>
            </w:pPr>
          </w:p>
          <w:p>
            <w:pPr>
              <w:pStyle w:val="TableParagraph"/>
              <w:spacing w:line="480" w:lineRule="auto"/>
              <w:ind w:left="108" w:right="3354"/>
              <w:rPr>
                <w:sz w:val="18"/>
              </w:rPr>
            </w:pPr>
            <w:r>
              <w:rPr>
                <w:sz w:val="18"/>
              </w:rPr>
              <w:t>System KazooHR</w:t>
            </w:r>
          </w:p>
        </w:tc>
      </w:tr>
      <w:tr>
        <w:trPr>
          <w:trHeight w:val="323" w:hRule="atLeast"/>
        </w:trPr>
        <w:tc>
          <w:tcPr>
            <w:tcW w:w="2604" w:type="dxa"/>
            <w:tcBorders>
              <w:bottom w:val="nil"/>
            </w:tcBorders>
          </w:tcPr>
          <w:p>
            <w:pPr>
              <w:pStyle w:val="TableParagraph"/>
              <w:spacing w:line="219" w:lineRule="exact"/>
              <w:ind w:left="108"/>
              <w:rPr>
                <w:b/>
                <w:sz w:val="18"/>
              </w:rPr>
            </w:pPr>
            <w:r>
              <w:rPr>
                <w:b/>
                <w:sz w:val="18"/>
              </w:rPr>
              <w:t>High School Completion</w:t>
            </w:r>
          </w:p>
        </w:tc>
        <w:tc>
          <w:tcPr>
            <w:tcW w:w="3871" w:type="dxa"/>
            <w:vMerge w:val="restart"/>
          </w:tcPr>
          <w:p>
            <w:pPr>
              <w:pStyle w:val="TableParagraph"/>
              <w:tabs>
                <w:tab w:pos="544" w:val="left" w:leader="none"/>
              </w:tabs>
              <w:spacing w:line="276" w:lineRule="auto"/>
              <w:ind w:left="544" w:right="252" w:hanging="360"/>
              <w:rPr>
                <w:sz w:val="18"/>
              </w:rPr>
            </w:pPr>
            <w:r>
              <w:rPr>
                <w:color w:val="323232"/>
                <w:sz w:val="18"/>
              </w:rPr>
              <w:t>4.</w:t>
              <w:tab/>
            </w:r>
            <w:r>
              <w:rPr>
                <w:sz w:val="18"/>
              </w:rPr>
              <w:t>75% of students receiving a credential including a high </w:t>
            </w:r>
            <w:r>
              <w:rPr>
                <w:spacing w:val="-3"/>
                <w:sz w:val="18"/>
              </w:rPr>
              <w:t>school </w:t>
            </w:r>
            <w:r>
              <w:rPr>
                <w:sz w:val="18"/>
              </w:rPr>
              <w:t>diploma, GED, NEDP, or IEP Certificate of Completion at the conclusion of their final year of high</w:t>
            </w:r>
            <w:r>
              <w:rPr>
                <w:spacing w:val="-2"/>
                <w:sz w:val="18"/>
              </w:rPr>
              <w:t> </w:t>
            </w:r>
            <w:r>
              <w:rPr>
                <w:sz w:val="18"/>
              </w:rPr>
              <w:t>school</w:t>
            </w:r>
          </w:p>
        </w:tc>
        <w:tc>
          <w:tcPr>
            <w:tcW w:w="4321" w:type="dxa"/>
            <w:tcBorders>
              <w:bottom w:val="nil"/>
            </w:tcBorders>
          </w:tcPr>
          <w:p>
            <w:pPr>
              <w:pStyle w:val="TableParagraph"/>
              <w:spacing w:line="219" w:lineRule="exact"/>
              <w:ind w:left="108"/>
              <w:rPr>
                <w:b/>
                <w:sz w:val="18"/>
              </w:rPr>
            </w:pPr>
            <w:r>
              <w:rPr>
                <w:b/>
                <w:sz w:val="18"/>
              </w:rPr>
              <w:t>Metric</w:t>
            </w:r>
          </w:p>
        </w:tc>
      </w:tr>
      <w:tr>
        <w:trPr>
          <w:trHeight w:val="429"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before="105"/>
              <w:ind w:left="108"/>
              <w:rPr>
                <w:sz w:val="18"/>
              </w:rPr>
            </w:pPr>
            <w:r>
              <w:rPr>
                <w:sz w:val="18"/>
              </w:rPr>
              <w:t>Calculation Formula for Metric</w:t>
            </w:r>
          </w:p>
        </w:tc>
      </w:tr>
      <w:tr>
        <w:trPr>
          <w:trHeight w:val="310"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82" w:lineRule="exact" w:before="108"/>
              <w:ind w:left="284"/>
              <w:rPr>
                <w:rFonts w:ascii="Times New Roman" w:hAnsi="Times New Roman" w:eastAsia="Times New Roman"/>
                <w:sz w:val="18"/>
              </w:rPr>
            </w:pPr>
            <w:r>
              <w:rPr>
                <w:rFonts w:ascii="Times New Roman" w:hAnsi="Times New Roman" w:eastAsia="Times New Roman"/>
                <w:w w:val="70"/>
                <w:sz w:val="18"/>
              </w:rPr>
              <w:t>𝑁𝑢𝑚𝑏𝑒𝑟 𝑜𝑓 𝑠𝑡𝑢𝑑𝑒𝑛𝑡𝑠 𝑤ℎ𝑜 𝑟𝑒𝑐𝑒𝑖𝑣𝑒 𝑎 ℎ𝑖𝑔ℎ 𝑠𝑐ℎ𝑜𝑜𝑙</w:t>
            </w:r>
          </w:p>
        </w:tc>
      </w:tr>
      <w:tr>
        <w:trPr>
          <w:trHeight w:val="208"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89" w:lineRule="exact"/>
              <w:ind w:left="212"/>
              <w:rPr>
                <w:rFonts w:ascii="Times New Roman" w:eastAsia="Times New Roman"/>
                <w:sz w:val="18"/>
              </w:rPr>
            </w:pPr>
            <w:r>
              <w:rPr>
                <w:rFonts w:ascii="Times New Roman" w:eastAsia="Times New Roman"/>
                <w:w w:val="70"/>
                <w:sz w:val="18"/>
              </w:rPr>
              <w:t>𝑑𝑖𝑝𝑙𝑜𝑚𝑎</w:t>
            </w:r>
            <w:r>
              <w:rPr>
                <w:w w:val="70"/>
                <w:sz w:val="18"/>
              </w:rPr>
              <w:t>, </w:t>
            </w:r>
            <w:r>
              <w:rPr>
                <w:rFonts w:ascii="Times New Roman" w:eastAsia="Times New Roman"/>
                <w:w w:val="70"/>
                <w:sz w:val="18"/>
              </w:rPr>
              <w:t>𝑎 𝑁𝑎𝑡𝑖𝑜𝑛𝑎𝑙 𝐸𝑥𝑡𝑒𝑟𝑛𝑎𝑙 𝐷𝑖𝑝𝑙𝑜𝑚𝑎 𝑃𝑟𝑜𝑔𝑟𝑎𝑚</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400"/>
              <w:rPr>
                <w:rFonts w:ascii="Times New Roman" w:eastAsia="Times New Roman"/>
                <w:sz w:val="18"/>
              </w:rPr>
            </w:pPr>
            <w:r>
              <w:rPr>
                <w:rFonts w:ascii="Times New Roman" w:eastAsia="Times New Roman"/>
                <w:w w:val="75"/>
                <w:sz w:val="18"/>
              </w:rPr>
              <w:t>𝑑𝑖𝑝𝑙𝑜𝑚𝑎</w:t>
            </w:r>
            <w:r>
              <w:rPr>
                <w:w w:val="75"/>
                <w:sz w:val="18"/>
              </w:rPr>
              <w:t>, </w:t>
            </w:r>
            <w:r>
              <w:rPr>
                <w:rFonts w:ascii="Times New Roman" w:eastAsia="Times New Roman"/>
                <w:w w:val="75"/>
                <w:sz w:val="18"/>
              </w:rPr>
              <w:t>𝑎𝑛 𝐼𝑛𝑑𝑖𝑣𝑖𝑑𝑢𝑎𝑙 𝐸𝑑𝑢𝑐𝑎𝑡𝑖𝑜𝑛 𝑃𝑟𝑜𝑔𝑟𝑎𝑚</w:t>
            </w:r>
          </w:p>
        </w:tc>
      </w:tr>
      <w:tr>
        <w:trPr>
          <w:trHeight w:val="210"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290"/>
              <w:rPr>
                <w:rFonts w:ascii="Times New Roman" w:hAnsi="Times New Roman" w:eastAsia="Times New Roman"/>
                <w:sz w:val="18"/>
              </w:rPr>
            </w:pPr>
            <w:r>
              <w:rPr>
                <w:rFonts w:ascii="Times New Roman" w:hAnsi="Times New Roman" w:eastAsia="Times New Roman"/>
                <w:w w:val="65"/>
                <w:sz w:val="18"/>
              </w:rPr>
              <w:t>𝑐𝑒𝑟𝑡𝑖𝑓𝑖𝑐𝑎𝑡𝑒</w:t>
            </w:r>
            <w:r>
              <w:rPr>
                <w:w w:val="65"/>
                <w:sz w:val="18"/>
              </w:rPr>
              <w:t>, </w:t>
            </w:r>
            <w:r>
              <w:rPr>
                <w:rFonts w:ascii="Times New Roman" w:hAnsi="Times New Roman" w:eastAsia="Times New Roman"/>
                <w:w w:val="65"/>
                <w:sz w:val="18"/>
              </w:rPr>
              <w:t>𝑜𝑟 𝑝𝑎𝑠𝑠 𝑡ℎ𝑒𝑖𝑟 𝐺𝑒𝑛𝑒𝑟𝑎𝑙 𝐸𝑞𝑢𝑖𝑣𝑎𝑙𝑒𝑛𝑐𝑦</w:t>
            </w:r>
          </w:p>
        </w:tc>
      </w:tr>
      <w:tr>
        <w:trPr>
          <w:trHeight w:val="201"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82" w:lineRule="exact"/>
              <w:ind w:left="258"/>
              <w:rPr>
                <w:rFonts w:ascii="Times New Roman" w:hAnsi="Times New Roman" w:eastAsia="Times New Roman"/>
                <w:sz w:val="18"/>
              </w:rPr>
            </w:pPr>
            <w:r>
              <w:rPr>
                <w:rFonts w:ascii="Times New Roman" w:hAnsi="Times New Roman" w:eastAsia="Times New Roman"/>
                <w:w w:val="65"/>
                <w:sz w:val="18"/>
              </w:rPr>
              <w:t>𝐷𝑖𝑝𝑙𝑜𝑚𝑎 𝑎𝑠𝑠𝑒𝑠𝑠𝑚𝑒𝑛𝑡 𝑑𝑢𝑟𝑖𝑛𝑔 𝑡ℎ𝑒 𝑎𝑐𝑐𝑜𝑢𝑛𝑡𝑎𝑏𝑖𝑙𝑖𝑡𝑦</w:t>
            </w:r>
          </w:p>
        </w:tc>
      </w:tr>
      <w:tr>
        <w:trPr>
          <w:trHeight w:val="420"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205" w:lineRule="exact"/>
              <w:ind w:left="88" w:right="77"/>
              <w:jc w:val="center"/>
              <w:rPr>
                <w:rFonts w:ascii="Times New Roman" w:eastAsia="Times New Roman"/>
                <w:sz w:val="18"/>
              </w:rPr>
            </w:pPr>
            <w:r>
              <w:rPr>
                <w:rFonts w:ascii="Times New Roman" w:eastAsia="Times New Roman"/>
                <w:w w:val="75"/>
                <w:sz w:val="18"/>
              </w:rPr>
              <w:t>𝑦𝑒𝑎𝑟</w:t>
            </w:r>
          </w:p>
        </w:tc>
      </w:tr>
      <w:tr>
        <w:trPr>
          <w:trHeight w:val="420"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before="10"/>
              <w:rPr>
                <w:rFonts w:ascii="Verdana"/>
                <w:sz w:val="17"/>
              </w:rPr>
            </w:pPr>
          </w:p>
          <w:p>
            <w:pPr>
              <w:pStyle w:val="TableParagraph"/>
              <w:spacing w:line="183" w:lineRule="exact"/>
              <w:ind w:left="447"/>
              <w:rPr>
                <w:rFonts w:ascii="Times New Roman" w:eastAsia="Times New Roman"/>
                <w:sz w:val="18"/>
              </w:rPr>
            </w:pPr>
            <w:r>
              <w:rPr>
                <w:rFonts w:ascii="Times New Roman" w:eastAsia="Times New Roman"/>
                <w:w w:val="75"/>
                <w:sz w:val="18"/>
              </w:rPr>
              <w:t>𝑁𝑢𝑚𝑏𝑒𝑟 𝑜𝑓 𝑠𝑡𝑢𝑑𝑒𝑛𝑡𝑠 𝑒𝑥𝑝𝑒𝑐𝑡𝑒𝑑 𝑡𝑜 𝑟𝑒𝑐𝑒𝑖𝑣𝑒 𝑎</w:t>
            </w:r>
          </w:p>
        </w:tc>
      </w:tr>
      <w:tr>
        <w:trPr>
          <w:trHeight w:val="200" w:hRule="atLeast"/>
        </w:trPr>
        <w:tc>
          <w:tcPr>
            <w:tcW w:w="2604" w:type="dxa"/>
            <w:tcBorders>
              <w:top w:val="nil"/>
              <w:bottom w:val="nil"/>
            </w:tcBorders>
          </w:tcPr>
          <w:p>
            <w:pPr>
              <w:pStyle w:val="TableParagraph"/>
              <w:rPr>
                <w:rFonts w:ascii="Times New Roman"/>
                <w:sz w:val="12"/>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81" w:lineRule="exact"/>
              <w:ind w:left="256"/>
              <w:rPr>
                <w:rFonts w:ascii="Times New Roman" w:hAnsi="Times New Roman" w:eastAsia="Times New Roman"/>
                <w:sz w:val="18"/>
              </w:rPr>
            </w:pPr>
            <w:r>
              <w:rPr>
                <w:rFonts w:ascii="Times New Roman" w:hAnsi="Times New Roman" w:eastAsia="Times New Roman"/>
                <w:w w:val="65"/>
                <w:sz w:val="18"/>
              </w:rPr>
              <w:t>𝑐𝑟𝑒𝑑𝑒𝑛𝑡𝑖𝑎𝑙 𝑎𝑡 𝑡ℎ𝑒 𝑒𝑛𝑑 𝑜𝑓 𝑡ℎ𝑒𝑖𝑟 𝑡𝑒𝑟𝑚𝑖𝑛𝑎𝑙 𝑦𝑒𝑎𝑟 𝑜𝑓</w:t>
            </w:r>
          </w:p>
        </w:tc>
      </w:tr>
      <w:tr>
        <w:trPr>
          <w:trHeight w:val="461"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214" w:lineRule="exact"/>
              <w:ind w:left="629"/>
              <w:rPr>
                <w:rFonts w:ascii="Times New Roman" w:hAnsi="Times New Roman" w:eastAsia="Times New Roman"/>
                <w:sz w:val="18"/>
              </w:rPr>
            </w:pPr>
            <w:r>
              <w:rPr>
                <w:rFonts w:ascii="Times New Roman" w:hAnsi="Times New Roman" w:eastAsia="Times New Roman"/>
                <w:w w:val="75"/>
                <w:sz w:val="18"/>
              </w:rPr>
              <w:t>𝑠𝑒𝑐𝑜𝑛𝑑𝑎𝑟𝑦 𝑠𝑐ℎ𝑜𝑜𝑙 </w:t>
            </w:r>
            <w:r>
              <w:rPr>
                <w:w w:val="75"/>
                <w:sz w:val="18"/>
              </w:rPr>
              <w:t>+ </w:t>
            </w:r>
            <w:r>
              <w:rPr>
                <w:rFonts w:ascii="Times New Roman" w:hAnsi="Times New Roman" w:eastAsia="Times New Roman"/>
                <w:w w:val="75"/>
                <w:sz w:val="18"/>
              </w:rPr>
              <w:t>𝑎𝑐𝑡𝑢𝑎𝑙 𝑐𝑜𝑚𝑝𝑙𝑒𝑡𝑒𝑟𝑠</w:t>
            </w:r>
          </w:p>
        </w:tc>
      </w:tr>
      <w:tr>
        <w:trPr>
          <w:trHeight w:val="571"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before="4"/>
              <w:rPr>
                <w:rFonts w:ascii="Verdana"/>
                <w:sz w:val="20"/>
              </w:rPr>
            </w:pPr>
          </w:p>
          <w:p>
            <w:pPr>
              <w:pStyle w:val="TableParagraph"/>
              <w:ind w:left="107"/>
              <w:rPr>
                <w:b/>
                <w:sz w:val="18"/>
              </w:rPr>
            </w:pPr>
            <w:r>
              <w:rPr>
                <w:b/>
                <w:sz w:val="18"/>
              </w:rPr>
              <w:t>Additional Notes</w:t>
            </w:r>
          </w:p>
        </w:tc>
      </w:tr>
      <w:tr>
        <w:trPr>
          <w:trHeight w:val="319" w:hRule="atLeast"/>
        </w:trPr>
        <w:tc>
          <w:tcPr>
            <w:tcW w:w="2604" w:type="dxa"/>
            <w:tcBorders>
              <w:top w:val="nil"/>
              <w:bottom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bottom w:val="nil"/>
            </w:tcBorders>
          </w:tcPr>
          <w:p>
            <w:pPr>
              <w:pStyle w:val="TableParagraph"/>
              <w:numPr>
                <w:ilvl w:val="0"/>
                <w:numId w:val="12"/>
              </w:numPr>
              <w:tabs>
                <w:tab w:pos="827" w:val="left" w:leader="none"/>
                <w:tab w:pos="828" w:val="left" w:leader="none"/>
              </w:tabs>
              <w:spacing w:line="195" w:lineRule="exact" w:before="105" w:after="0"/>
              <w:ind w:left="827" w:right="0" w:hanging="361"/>
              <w:jc w:val="left"/>
              <w:rPr>
                <w:sz w:val="18"/>
              </w:rPr>
            </w:pPr>
            <w:r>
              <w:rPr>
                <w:sz w:val="18"/>
              </w:rPr>
              <w:t>This measure will follow the</w:t>
            </w:r>
            <w:r>
              <w:rPr>
                <w:spacing w:val="-17"/>
                <w:sz w:val="18"/>
              </w:rPr>
              <w:t> </w:t>
            </w:r>
            <w:r>
              <w:rPr>
                <w:sz w:val="18"/>
              </w:rPr>
              <w:t>business</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827"/>
              <w:rPr>
                <w:sz w:val="18"/>
              </w:rPr>
            </w:pPr>
            <w:r>
              <w:rPr>
                <w:sz w:val="18"/>
              </w:rPr>
              <w:t>rules from the STAR technical guide</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827"/>
              <w:rPr>
                <w:sz w:val="18"/>
              </w:rPr>
            </w:pPr>
            <w:r>
              <w:rPr>
                <w:sz w:val="18"/>
              </w:rPr>
              <w:t>for each respective year.</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numPr>
                <w:ilvl w:val="0"/>
                <w:numId w:val="13"/>
              </w:numPr>
              <w:tabs>
                <w:tab w:pos="827" w:val="left" w:leader="none"/>
                <w:tab w:pos="828" w:val="left" w:leader="none"/>
              </w:tabs>
              <w:spacing w:line="190" w:lineRule="exact" w:before="0" w:after="0"/>
              <w:ind w:left="827" w:right="0" w:hanging="361"/>
              <w:jc w:val="left"/>
              <w:rPr>
                <w:sz w:val="18"/>
              </w:rPr>
            </w:pPr>
            <w:r>
              <w:rPr>
                <w:sz w:val="18"/>
              </w:rPr>
              <w:t>School conducts multiple</w:t>
            </w:r>
            <w:r>
              <w:rPr>
                <w:spacing w:val="-10"/>
                <w:sz w:val="18"/>
              </w:rPr>
              <w:t> </w:t>
            </w:r>
            <w:r>
              <w:rPr>
                <w:sz w:val="18"/>
              </w:rPr>
              <w:t>transcript</w:t>
            </w:r>
          </w:p>
        </w:tc>
      </w:tr>
      <w:tr>
        <w:trPr>
          <w:trHeight w:val="208"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89" w:lineRule="exact"/>
              <w:ind w:left="827"/>
              <w:rPr>
                <w:sz w:val="18"/>
              </w:rPr>
            </w:pPr>
            <w:r>
              <w:rPr>
                <w:sz w:val="18"/>
              </w:rPr>
              <w:t>reviews annually and submits initial</w:t>
            </w:r>
          </w:p>
        </w:tc>
      </w:tr>
      <w:tr>
        <w:trPr>
          <w:trHeight w:val="208"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89" w:lineRule="exact"/>
              <w:ind w:left="827"/>
              <w:rPr>
                <w:sz w:val="18"/>
              </w:rPr>
            </w:pPr>
            <w:r>
              <w:rPr>
                <w:sz w:val="18"/>
              </w:rPr>
              <w:t>denominator to OSSE after the</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827"/>
              <w:rPr>
                <w:sz w:val="18"/>
              </w:rPr>
            </w:pPr>
            <w:r>
              <w:rPr>
                <w:sz w:val="18"/>
              </w:rPr>
              <w:t>October count annually. Only new</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827"/>
              <w:rPr>
                <w:sz w:val="18"/>
              </w:rPr>
            </w:pPr>
            <w:r>
              <w:rPr>
                <w:sz w:val="18"/>
              </w:rPr>
              <w:t>students to the school will be added</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827"/>
              <w:rPr>
                <w:sz w:val="18"/>
              </w:rPr>
            </w:pPr>
            <w:r>
              <w:rPr>
                <w:sz w:val="18"/>
              </w:rPr>
              <w:t>to the denominator after the October</w:t>
            </w:r>
          </w:p>
        </w:tc>
      </w:tr>
      <w:tr>
        <w:trPr>
          <w:trHeight w:val="209" w:hRule="atLeast"/>
        </w:trPr>
        <w:tc>
          <w:tcPr>
            <w:tcW w:w="2604" w:type="dxa"/>
            <w:tcBorders>
              <w:top w:val="nil"/>
              <w:bottom w:val="nil"/>
            </w:tcBorders>
          </w:tcPr>
          <w:p>
            <w:pPr>
              <w:pStyle w:val="TableParagraph"/>
              <w:rPr>
                <w:rFonts w:ascii="Times New Roman"/>
                <w:sz w:val="14"/>
              </w:rPr>
            </w:pPr>
          </w:p>
        </w:tc>
        <w:tc>
          <w:tcPr>
            <w:tcW w:w="3871" w:type="dxa"/>
            <w:vMerge/>
            <w:tcBorders>
              <w:top w:val="nil"/>
            </w:tcBorders>
          </w:tcPr>
          <w:p>
            <w:pPr>
              <w:rPr>
                <w:sz w:val="2"/>
                <w:szCs w:val="2"/>
              </w:rPr>
            </w:pPr>
          </w:p>
        </w:tc>
        <w:tc>
          <w:tcPr>
            <w:tcW w:w="4321" w:type="dxa"/>
            <w:tcBorders>
              <w:top w:val="nil"/>
              <w:bottom w:val="nil"/>
            </w:tcBorders>
          </w:tcPr>
          <w:p>
            <w:pPr>
              <w:pStyle w:val="TableParagraph"/>
              <w:spacing w:line="190" w:lineRule="exact"/>
              <w:ind w:left="827"/>
              <w:rPr>
                <w:sz w:val="18"/>
              </w:rPr>
            </w:pPr>
            <w:r>
              <w:rPr>
                <w:sz w:val="18"/>
              </w:rPr>
              <w:t>count if they are on track to</w:t>
            </w:r>
          </w:p>
        </w:tc>
      </w:tr>
      <w:tr>
        <w:trPr>
          <w:trHeight w:val="466" w:hRule="atLeast"/>
        </w:trPr>
        <w:tc>
          <w:tcPr>
            <w:tcW w:w="2604" w:type="dxa"/>
            <w:tcBorders>
              <w:top w:val="nil"/>
            </w:tcBorders>
          </w:tcPr>
          <w:p>
            <w:pPr>
              <w:pStyle w:val="TableParagraph"/>
              <w:rPr>
                <w:rFonts w:ascii="Times New Roman"/>
                <w:sz w:val="18"/>
              </w:rPr>
            </w:pPr>
          </w:p>
        </w:tc>
        <w:tc>
          <w:tcPr>
            <w:tcW w:w="3871" w:type="dxa"/>
            <w:vMerge/>
            <w:tcBorders>
              <w:top w:val="nil"/>
            </w:tcBorders>
          </w:tcPr>
          <w:p>
            <w:pPr>
              <w:rPr>
                <w:sz w:val="2"/>
                <w:szCs w:val="2"/>
              </w:rPr>
            </w:pPr>
          </w:p>
        </w:tc>
        <w:tc>
          <w:tcPr>
            <w:tcW w:w="4321" w:type="dxa"/>
            <w:tcBorders>
              <w:top w:val="nil"/>
            </w:tcBorders>
          </w:tcPr>
          <w:p>
            <w:pPr>
              <w:pStyle w:val="TableParagraph"/>
              <w:spacing w:line="215" w:lineRule="exact"/>
              <w:ind w:left="827"/>
              <w:rPr>
                <w:sz w:val="18"/>
              </w:rPr>
            </w:pPr>
            <w:r>
              <w:rPr>
                <w:sz w:val="18"/>
              </w:rPr>
              <w:t>graduate.</w:t>
            </w:r>
          </w:p>
        </w:tc>
      </w:tr>
      <w:tr>
        <w:trPr>
          <w:trHeight w:val="3291" w:hRule="atLeast"/>
        </w:trPr>
        <w:tc>
          <w:tcPr>
            <w:tcW w:w="2604" w:type="dxa"/>
          </w:tcPr>
          <w:p>
            <w:pPr>
              <w:pStyle w:val="TableParagraph"/>
              <w:spacing w:line="276" w:lineRule="auto"/>
              <w:ind w:left="108" w:right="1058"/>
              <w:rPr>
                <w:b/>
                <w:sz w:val="18"/>
              </w:rPr>
            </w:pPr>
            <w:r>
              <w:rPr>
                <w:b/>
                <w:sz w:val="18"/>
              </w:rPr>
              <w:t>College/Career Readiness</w:t>
            </w:r>
          </w:p>
        </w:tc>
        <w:tc>
          <w:tcPr>
            <w:tcW w:w="3871" w:type="dxa"/>
          </w:tcPr>
          <w:p>
            <w:pPr>
              <w:pStyle w:val="TableParagraph"/>
              <w:tabs>
                <w:tab w:pos="544" w:val="left" w:leader="none"/>
              </w:tabs>
              <w:ind w:left="544" w:right="205" w:hanging="360"/>
              <w:rPr>
                <w:sz w:val="18"/>
              </w:rPr>
            </w:pPr>
            <w:r>
              <w:rPr>
                <w:color w:val="323232"/>
                <w:sz w:val="18"/>
              </w:rPr>
              <w:t>5.</w:t>
              <w:tab/>
            </w:r>
            <w:r>
              <w:rPr>
                <w:sz w:val="18"/>
              </w:rPr>
              <w:t>70% of students at the end of their terminal year of secondary school demonstrate mastery of CCLR content</w:t>
            </w:r>
            <w:r>
              <w:rPr>
                <w:spacing w:val="-1"/>
                <w:sz w:val="18"/>
              </w:rPr>
              <w:t> </w:t>
            </w:r>
            <w:r>
              <w:rPr>
                <w:sz w:val="18"/>
              </w:rPr>
              <w:t>area</w:t>
            </w:r>
          </w:p>
        </w:tc>
        <w:tc>
          <w:tcPr>
            <w:tcW w:w="4321" w:type="dxa"/>
          </w:tcPr>
          <w:p>
            <w:pPr>
              <w:pStyle w:val="TableParagraph"/>
              <w:spacing w:line="219" w:lineRule="exact"/>
              <w:ind w:left="108"/>
              <w:rPr>
                <w:b/>
                <w:sz w:val="18"/>
              </w:rPr>
            </w:pPr>
            <w:r>
              <w:rPr>
                <w:b/>
                <w:sz w:val="18"/>
              </w:rPr>
              <w:t>Metric</w:t>
            </w:r>
          </w:p>
          <w:p>
            <w:pPr>
              <w:pStyle w:val="TableParagraph"/>
              <w:spacing w:before="1"/>
              <w:rPr>
                <w:rFonts w:ascii="Verdana"/>
                <w:sz w:val="18"/>
              </w:rPr>
            </w:pPr>
          </w:p>
          <w:p>
            <w:pPr>
              <w:pStyle w:val="TableParagraph"/>
              <w:ind w:left="153" w:right="142"/>
              <w:jc w:val="center"/>
              <w:rPr>
                <w:i/>
                <w:sz w:val="18"/>
              </w:rPr>
            </w:pPr>
            <w:r>
              <w:rPr>
                <w:i/>
                <w:color w:val="212121"/>
                <w:sz w:val="18"/>
              </w:rPr>
              <w:t>Total number of students </w:t>
            </w:r>
            <w:r>
              <w:rPr>
                <w:i/>
                <w:sz w:val="18"/>
              </w:rPr>
              <w:t>at the end of their terminal year of secondary school </w:t>
            </w:r>
            <w:r>
              <w:rPr>
                <w:i/>
                <w:color w:val="212121"/>
                <w:sz w:val="18"/>
              </w:rPr>
              <w:t>demonstrating mastery of CCLR content area</w:t>
            </w:r>
          </w:p>
          <w:p>
            <w:pPr>
              <w:pStyle w:val="TableParagraph"/>
              <w:spacing w:before="2" w:after="1"/>
              <w:rPr>
                <w:rFonts w:ascii="Verdana"/>
                <w:sz w:val="14"/>
              </w:rPr>
            </w:pPr>
          </w:p>
          <w:p>
            <w:pPr>
              <w:pStyle w:val="TableParagraph"/>
              <w:spacing w:line="20" w:lineRule="exact"/>
              <w:ind w:left="220"/>
              <w:rPr>
                <w:rFonts w:ascii="Verdana"/>
                <w:sz w:val="2"/>
              </w:rPr>
            </w:pPr>
            <w:r>
              <w:rPr>
                <w:rFonts w:ascii="Verdana"/>
                <w:sz w:val="2"/>
              </w:rPr>
              <w:pict>
                <v:group style="width:193.5pt;height:.45pt;mso-position-horizontal-relative:char;mso-position-vertical-relative:line" coordorigin="0,0" coordsize="3870,9">
                  <v:line style="position:absolute" from="0,4" to="3870,4" stroked="true" strokeweight=".432pt" strokecolor="#202020">
                    <v:stroke dashstyle="solid"/>
                  </v:line>
                </v:group>
              </w:pict>
            </w:r>
            <w:r>
              <w:rPr>
                <w:rFonts w:ascii="Verdana"/>
                <w:sz w:val="2"/>
              </w:rPr>
            </w:r>
          </w:p>
          <w:p>
            <w:pPr>
              <w:pStyle w:val="TableParagraph"/>
              <w:spacing w:before="26"/>
              <w:ind w:left="88" w:right="77"/>
              <w:jc w:val="center"/>
              <w:rPr>
                <w:i/>
                <w:sz w:val="18"/>
              </w:rPr>
            </w:pPr>
            <w:r>
              <w:rPr>
                <w:i/>
                <w:sz w:val="18"/>
              </w:rPr>
              <w:t>Total number of </w:t>
            </w:r>
            <w:r>
              <w:rPr>
                <w:i/>
                <w:color w:val="212121"/>
                <w:sz w:val="18"/>
              </w:rPr>
              <w:t>students </w:t>
            </w:r>
            <w:r>
              <w:rPr>
                <w:i/>
                <w:sz w:val="18"/>
              </w:rPr>
              <w:t>at the end of their terminal year of secondary school</w:t>
            </w:r>
          </w:p>
          <w:p>
            <w:pPr>
              <w:pStyle w:val="TableParagraph"/>
              <w:spacing w:before="1"/>
              <w:rPr>
                <w:rFonts w:ascii="Verdana"/>
                <w:sz w:val="18"/>
              </w:rPr>
            </w:pPr>
          </w:p>
          <w:p>
            <w:pPr>
              <w:pStyle w:val="TableParagraph"/>
              <w:ind w:left="108"/>
              <w:rPr>
                <w:b/>
                <w:sz w:val="18"/>
              </w:rPr>
            </w:pPr>
            <w:r>
              <w:rPr>
                <w:b/>
                <w:sz w:val="18"/>
              </w:rPr>
              <w:t>Additional Notes</w:t>
            </w:r>
          </w:p>
          <w:p>
            <w:pPr>
              <w:pStyle w:val="TableParagraph"/>
              <w:spacing w:before="11"/>
              <w:rPr>
                <w:rFonts w:ascii="Verdana"/>
                <w:sz w:val="17"/>
              </w:rPr>
            </w:pPr>
          </w:p>
          <w:p>
            <w:pPr>
              <w:pStyle w:val="TableParagraph"/>
              <w:numPr>
                <w:ilvl w:val="0"/>
                <w:numId w:val="14"/>
              </w:numPr>
              <w:tabs>
                <w:tab w:pos="827" w:val="left" w:leader="none"/>
                <w:tab w:pos="828" w:val="left" w:leader="none"/>
              </w:tabs>
              <w:spacing w:line="220" w:lineRule="atLeast" w:before="0" w:after="0"/>
              <w:ind w:left="828" w:right="498" w:hanging="360"/>
              <w:jc w:val="left"/>
              <w:rPr>
                <w:sz w:val="18"/>
              </w:rPr>
            </w:pPr>
            <w:r>
              <w:rPr>
                <w:sz w:val="18"/>
              </w:rPr>
              <w:t>Expected mastery score of CCLR competencies is a 3.0 unless documented in the students’</w:t>
            </w:r>
            <w:r>
              <w:rPr>
                <w:spacing w:val="-7"/>
                <w:sz w:val="18"/>
              </w:rPr>
              <w:t> </w:t>
            </w:r>
            <w:r>
              <w:rPr>
                <w:spacing w:val="-4"/>
                <w:sz w:val="18"/>
              </w:rPr>
              <w:t>IEP</w:t>
            </w:r>
          </w:p>
        </w:tc>
      </w:tr>
    </w:tbl>
    <w:p>
      <w:pPr>
        <w:spacing w:after="0" w:line="220" w:lineRule="atLeast"/>
        <w:jc w:val="left"/>
        <w:rPr>
          <w:sz w:val="18"/>
        </w:rPr>
        <w:sectPr>
          <w:pgSz w:w="12240" w:h="15840"/>
          <w:pgMar w:header="768" w:footer="0" w:top="1000" w:bottom="280" w:left="600" w:right="600"/>
        </w:sectPr>
      </w:pPr>
    </w:p>
    <w:p>
      <w:pPr>
        <w:pStyle w:val="BodyText"/>
        <w:rPr>
          <w:sz w:val="20"/>
        </w:rPr>
      </w:pPr>
    </w:p>
    <w:p>
      <w:pPr>
        <w:pStyle w:val="BodyText"/>
        <w:spacing w:before="6"/>
        <w:rPr>
          <w:sz w:val="1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4"/>
        <w:gridCol w:w="3871"/>
        <w:gridCol w:w="4321"/>
      </w:tblGrid>
      <w:tr>
        <w:trPr>
          <w:trHeight w:val="3950" w:hRule="atLeast"/>
        </w:trPr>
        <w:tc>
          <w:tcPr>
            <w:tcW w:w="2604" w:type="dxa"/>
          </w:tcPr>
          <w:p>
            <w:pPr>
              <w:pStyle w:val="TableParagraph"/>
              <w:rPr>
                <w:rFonts w:ascii="Times New Roman"/>
                <w:sz w:val="18"/>
              </w:rPr>
            </w:pPr>
          </w:p>
        </w:tc>
        <w:tc>
          <w:tcPr>
            <w:tcW w:w="3871" w:type="dxa"/>
          </w:tcPr>
          <w:p>
            <w:pPr>
              <w:pStyle w:val="TableParagraph"/>
              <w:rPr>
                <w:rFonts w:ascii="Times New Roman"/>
                <w:sz w:val="18"/>
              </w:rPr>
            </w:pPr>
          </w:p>
        </w:tc>
        <w:tc>
          <w:tcPr>
            <w:tcW w:w="4321" w:type="dxa"/>
          </w:tcPr>
          <w:p>
            <w:pPr>
              <w:pStyle w:val="TableParagraph"/>
              <w:numPr>
                <w:ilvl w:val="0"/>
                <w:numId w:val="15"/>
              </w:numPr>
              <w:tabs>
                <w:tab w:pos="827" w:val="left" w:leader="none"/>
                <w:tab w:pos="828" w:val="left" w:leader="none"/>
              </w:tabs>
              <w:spacing w:line="240" w:lineRule="auto" w:before="0" w:after="0"/>
              <w:ind w:left="828" w:right="293" w:hanging="360"/>
              <w:jc w:val="left"/>
              <w:rPr>
                <w:sz w:val="18"/>
              </w:rPr>
            </w:pPr>
            <w:r>
              <w:rPr>
                <w:sz w:val="18"/>
              </w:rPr>
              <w:t>Students in non-public </w:t>
            </w:r>
            <w:r>
              <w:rPr>
                <w:spacing w:val="-3"/>
                <w:sz w:val="18"/>
              </w:rPr>
              <w:t>placements </w:t>
            </w:r>
            <w:r>
              <w:rPr>
                <w:sz w:val="18"/>
              </w:rPr>
              <w:t>are excluded from this</w:t>
            </w:r>
            <w:r>
              <w:rPr>
                <w:spacing w:val="-6"/>
                <w:sz w:val="18"/>
              </w:rPr>
              <w:t> </w:t>
            </w:r>
            <w:r>
              <w:rPr>
                <w:sz w:val="18"/>
              </w:rPr>
              <w:t>measure</w:t>
            </w:r>
          </w:p>
          <w:p>
            <w:pPr>
              <w:pStyle w:val="TableParagraph"/>
              <w:numPr>
                <w:ilvl w:val="0"/>
                <w:numId w:val="15"/>
              </w:numPr>
              <w:tabs>
                <w:tab w:pos="827" w:val="left" w:leader="none"/>
                <w:tab w:pos="828" w:val="left" w:leader="none"/>
              </w:tabs>
              <w:spacing w:line="240" w:lineRule="auto" w:before="0" w:after="0"/>
              <w:ind w:left="828" w:right="213" w:hanging="360"/>
              <w:jc w:val="left"/>
              <w:rPr>
                <w:sz w:val="18"/>
              </w:rPr>
            </w:pPr>
            <w:r>
              <w:rPr>
                <w:sz w:val="18"/>
              </w:rPr>
              <w:t>Aligned with validated</w:t>
            </w:r>
            <w:r>
              <w:rPr>
                <w:spacing w:val="-12"/>
                <w:sz w:val="18"/>
              </w:rPr>
              <w:t> </w:t>
            </w:r>
            <w:r>
              <w:rPr>
                <w:sz w:val="18"/>
              </w:rPr>
              <w:t>denominator of OSSE certified graduation</w:t>
            </w:r>
            <w:r>
              <w:rPr>
                <w:spacing w:val="-16"/>
                <w:sz w:val="18"/>
              </w:rPr>
              <w:t> </w:t>
            </w:r>
            <w:r>
              <w:rPr>
                <w:sz w:val="18"/>
              </w:rPr>
              <w:t>roster</w:t>
            </w:r>
          </w:p>
          <w:p>
            <w:pPr>
              <w:pStyle w:val="TableParagraph"/>
              <w:numPr>
                <w:ilvl w:val="1"/>
                <w:numId w:val="15"/>
              </w:numPr>
              <w:tabs>
                <w:tab w:pos="1173" w:val="left" w:leader="none"/>
                <w:tab w:pos="1174" w:val="left" w:leader="none"/>
              </w:tabs>
              <w:spacing w:line="240" w:lineRule="auto" w:before="0" w:after="0"/>
              <w:ind w:left="1173" w:right="260" w:hanging="360"/>
              <w:jc w:val="left"/>
              <w:rPr>
                <w:sz w:val="18"/>
              </w:rPr>
            </w:pPr>
            <w:r>
              <w:rPr>
                <w:sz w:val="18"/>
              </w:rPr>
              <w:t>Students enrolling at Kingsman Academy who have earned equivalent CCLR course credits prior to enrolling at Kingsman are excluded from the denominator</w:t>
            </w:r>
          </w:p>
          <w:p>
            <w:pPr>
              <w:pStyle w:val="TableParagraph"/>
              <w:spacing w:before="1"/>
              <w:rPr>
                <w:rFonts w:ascii="Verdana"/>
                <w:sz w:val="18"/>
              </w:rPr>
            </w:pPr>
          </w:p>
          <w:p>
            <w:pPr>
              <w:pStyle w:val="TableParagraph"/>
              <w:spacing w:line="219" w:lineRule="exact"/>
              <w:ind w:left="108"/>
              <w:rPr>
                <w:b/>
                <w:sz w:val="18"/>
              </w:rPr>
            </w:pPr>
            <w:r>
              <w:rPr>
                <w:b/>
                <w:sz w:val="18"/>
              </w:rPr>
              <w:t>Systems</w:t>
            </w:r>
          </w:p>
          <w:p>
            <w:pPr>
              <w:pStyle w:val="TableParagraph"/>
              <w:ind w:left="108" w:right="394"/>
              <w:rPr>
                <w:sz w:val="18"/>
              </w:rPr>
            </w:pPr>
            <w:r>
              <w:rPr>
                <w:sz w:val="18"/>
              </w:rPr>
              <w:t>Empower Learning a 3rd party vendor will analyze and report</w:t>
            </w:r>
          </w:p>
          <w:p>
            <w:pPr>
              <w:pStyle w:val="TableParagraph"/>
              <w:numPr>
                <w:ilvl w:val="0"/>
                <w:numId w:val="15"/>
              </w:numPr>
              <w:tabs>
                <w:tab w:pos="827" w:val="left" w:leader="none"/>
                <w:tab w:pos="828" w:val="left" w:leader="none"/>
              </w:tabs>
              <w:spacing w:line="240" w:lineRule="auto" w:before="0" w:after="0"/>
              <w:ind w:left="828" w:right="0" w:hanging="360"/>
              <w:jc w:val="left"/>
              <w:rPr>
                <w:sz w:val="18"/>
              </w:rPr>
            </w:pPr>
            <w:r>
              <w:rPr>
                <w:sz w:val="18"/>
              </w:rPr>
              <w:t>Student</w:t>
            </w:r>
            <w:r>
              <w:rPr>
                <w:spacing w:val="-1"/>
                <w:sz w:val="18"/>
              </w:rPr>
              <w:t> </w:t>
            </w:r>
            <w:r>
              <w:rPr>
                <w:sz w:val="18"/>
              </w:rPr>
              <w:t>USI</w:t>
            </w:r>
          </w:p>
          <w:p>
            <w:pPr>
              <w:pStyle w:val="TableParagraph"/>
              <w:numPr>
                <w:ilvl w:val="0"/>
                <w:numId w:val="15"/>
              </w:numPr>
              <w:tabs>
                <w:tab w:pos="827" w:val="left" w:leader="none"/>
                <w:tab w:pos="828" w:val="left" w:leader="none"/>
              </w:tabs>
              <w:spacing w:line="240" w:lineRule="auto" w:before="0" w:after="0"/>
              <w:ind w:left="828" w:right="0" w:hanging="360"/>
              <w:jc w:val="left"/>
              <w:rPr>
                <w:sz w:val="18"/>
              </w:rPr>
            </w:pPr>
            <w:r>
              <w:rPr>
                <w:sz w:val="18"/>
              </w:rPr>
              <w:t>IEP</w:t>
            </w:r>
            <w:r>
              <w:rPr>
                <w:spacing w:val="-2"/>
                <w:sz w:val="18"/>
              </w:rPr>
              <w:t> </w:t>
            </w:r>
            <w:r>
              <w:rPr>
                <w:sz w:val="18"/>
              </w:rPr>
              <w:t>Status</w:t>
            </w:r>
          </w:p>
          <w:p>
            <w:pPr>
              <w:pStyle w:val="TableParagraph"/>
              <w:numPr>
                <w:ilvl w:val="0"/>
                <w:numId w:val="15"/>
              </w:numPr>
              <w:tabs>
                <w:tab w:pos="827" w:val="left" w:leader="none"/>
                <w:tab w:pos="828" w:val="left" w:leader="none"/>
              </w:tabs>
              <w:spacing w:line="220" w:lineRule="atLeast" w:before="0" w:after="0"/>
              <w:ind w:left="828" w:right="197" w:hanging="360"/>
              <w:jc w:val="left"/>
              <w:rPr>
                <w:sz w:val="18"/>
              </w:rPr>
            </w:pPr>
            <w:r>
              <w:rPr>
                <w:sz w:val="18"/>
              </w:rPr>
              <w:t>Student w/IEP CCLP expected proficiency score CCLR earned </w:t>
            </w:r>
            <w:r>
              <w:rPr>
                <w:spacing w:val="-4"/>
                <w:sz w:val="18"/>
              </w:rPr>
              <w:t>score</w:t>
            </w:r>
          </w:p>
        </w:tc>
      </w:tr>
      <w:tr>
        <w:trPr>
          <w:trHeight w:val="7710" w:hRule="atLeast"/>
        </w:trPr>
        <w:tc>
          <w:tcPr>
            <w:tcW w:w="2604" w:type="dxa"/>
          </w:tcPr>
          <w:p>
            <w:pPr>
              <w:pStyle w:val="TableParagraph"/>
              <w:spacing w:line="218" w:lineRule="exact"/>
              <w:ind w:left="108"/>
              <w:rPr>
                <w:b/>
                <w:sz w:val="18"/>
              </w:rPr>
            </w:pPr>
            <w:r>
              <w:rPr>
                <w:b/>
                <w:sz w:val="18"/>
              </w:rPr>
              <w:t>Student Engagement</w:t>
            </w:r>
          </w:p>
        </w:tc>
        <w:tc>
          <w:tcPr>
            <w:tcW w:w="3871" w:type="dxa"/>
          </w:tcPr>
          <w:p>
            <w:pPr>
              <w:pStyle w:val="TableParagraph"/>
              <w:tabs>
                <w:tab w:pos="544" w:val="left" w:leader="none"/>
              </w:tabs>
              <w:spacing w:line="276" w:lineRule="auto"/>
              <w:ind w:left="544" w:right="348" w:hanging="360"/>
              <w:rPr>
                <w:sz w:val="18"/>
              </w:rPr>
            </w:pPr>
            <w:r>
              <w:rPr>
                <w:color w:val="323232"/>
                <w:sz w:val="18"/>
              </w:rPr>
              <w:t>6.</w:t>
              <w:tab/>
            </w:r>
            <w:r>
              <w:rPr>
                <w:sz w:val="18"/>
              </w:rPr>
              <w:t>65% of students maintain an engagement score of average or above as per their tiered engagement cohort upon</w:t>
            </w:r>
            <w:r>
              <w:rPr>
                <w:spacing w:val="-1"/>
                <w:sz w:val="18"/>
              </w:rPr>
              <w:t> </w:t>
            </w:r>
            <w:r>
              <w:rPr>
                <w:spacing w:val="-3"/>
                <w:sz w:val="18"/>
              </w:rPr>
              <w:t>intake</w:t>
            </w:r>
          </w:p>
        </w:tc>
        <w:tc>
          <w:tcPr>
            <w:tcW w:w="4321" w:type="dxa"/>
          </w:tcPr>
          <w:p>
            <w:pPr>
              <w:pStyle w:val="TableParagraph"/>
              <w:spacing w:line="218" w:lineRule="exact"/>
              <w:ind w:left="107"/>
              <w:rPr>
                <w:b/>
                <w:sz w:val="18"/>
              </w:rPr>
            </w:pPr>
            <w:r>
              <w:rPr>
                <w:b/>
                <w:sz w:val="18"/>
              </w:rPr>
              <w:t>Metrics</w:t>
            </w:r>
          </w:p>
          <w:p>
            <w:pPr>
              <w:pStyle w:val="TableParagraph"/>
              <w:spacing w:before="11"/>
              <w:rPr>
                <w:rFonts w:ascii="Verdana"/>
                <w:sz w:val="17"/>
              </w:rPr>
            </w:pPr>
          </w:p>
          <w:p>
            <w:pPr>
              <w:pStyle w:val="TableParagraph"/>
              <w:spacing w:before="1"/>
              <w:ind w:left="88" w:right="77"/>
              <w:jc w:val="center"/>
              <w:rPr>
                <w:i/>
                <w:sz w:val="18"/>
              </w:rPr>
            </w:pPr>
            <w:r>
              <w:rPr>
                <w:i/>
                <w:color w:val="212121"/>
                <w:sz w:val="18"/>
              </w:rPr>
              <w:t>FAY students maintained an average or higher engagement score</w:t>
            </w:r>
          </w:p>
          <w:p>
            <w:pPr>
              <w:pStyle w:val="TableParagraph"/>
              <w:spacing w:before="10"/>
              <w:rPr>
                <w:rFonts w:ascii="Verdana"/>
                <w:sz w:val="9"/>
              </w:rPr>
            </w:pPr>
          </w:p>
          <w:p>
            <w:pPr>
              <w:pStyle w:val="TableParagraph"/>
              <w:spacing w:line="20" w:lineRule="exact"/>
              <w:ind w:left="126"/>
              <w:rPr>
                <w:rFonts w:ascii="Verdana"/>
                <w:sz w:val="2"/>
              </w:rPr>
            </w:pPr>
            <w:r>
              <w:rPr>
                <w:rFonts w:ascii="Verdana"/>
                <w:sz w:val="2"/>
              </w:rPr>
              <w:pict>
                <v:group style="width:202.75pt;height:.6pt;mso-position-horizontal-relative:char;mso-position-vertical-relative:line" coordorigin="0,0" coordsize="4055,12">
                  <v:line style="position:absolute" from="0,6" to="4055,6" stroked="true" strokeweight=".558pt" strokecolor="#202020">
                    <v:stroke dashstyle="dash"/>
                  </v:line>
                </v:group>
              </w:pict>
            </w:r>
            <w:r>
              <w:rPr>
                <w:rFonts w:ascii="Verdana"/>
                <w:sz w:val="2"/>
              </w:rPr>
            </w:r>
          </w:p>
          <w:p>
            <w:pPr>
              <w:pStyle w:val="TableParagraph"/>
              <w:spacing w:before="5"/>
              <w:rPr>
                <w:rFonts w:ascii="Verdana"/>
                <w:sz w:val="16"/>
              </w:rPr>
            </w:pPr>
          </w:p>
          <w:p>
            <w:pPr>
              <w:pStyle w:val="TableParagraph"/>
              <w:spacing w:line="20" w:lineRule="exact"/>
              <w:ind w:left="1879"/>
              <w:rPr>
                <w:rFonts w:ascii="Verdana"/>
                <w:sz w:val="2"/>
              </w:rPr>
            </w:pPr>
            <w:r>
              <w:rPr>
                <w:rFonts w:ascii="Verdana"/>
                <w:sz w:val="2"/>
              </w:rPr>
              <w:pict>
                <v:group style="width:27.45pt;height:.6pt;mso-position-horizontal-relative:char;mso-position-vertical-relative:line" coordorigin="0,0" coordsize="549,12">
                  <v:line style="position:absolute" from="0,6" to="548,6" stroked="true" strokeweight=".558pt" strokecolor="#202020">
                    <v:stroke dashstyle="dash"/>
                  </v:line>
                </v:group>
              </w:pict>
            </w:r>
            <w:r>
              <w:rPr>
                <w:rFonts w:ascii="Verdana"/>
                <w:sz w:val="2"/>
              </w:rPr>
            </w:r>
          </w:p>
          <w:p>
            <w:pPr>
              <w:pStyle w:val="TableParagraph"/>
              <w:spacing w:before="80"/>
              <w:ind w:left="88" w:right="78"/>
              <w:jc w:val="center"/>
              <w:rPr>
                <w:i/>
                <w:sz w:val="18"/>
              </w:rPr>
            </w:pPr>
            <w:r>
              <w:rPr>
                <w:i/>
                <w:color w:val="212121"/>
                <w:sz w:val="18"/>
              </w:rPr>
              <w:t>FAY students</w:t>
            </w:r>
          </w:p>
          <w:p>
            <w:pPr>
              <w:pStyle w:val="TableParagraph"/>
              <w:rPr>
                <w:rFonts w:ascii="Verdana"/>
                <w:sz w:val="22"/>
              </w:rPr>
            </w:pPr>
          </w:p>
          <w:p>
            <w:pPr>
              <w:pStyle w:val="TableParagraph"/>
              <w:spacing w:before="171"/>
              <w:ind w:left="108"/>
              <w:rPr>
                <w:b/>
                <w:sz w:val="18"/>
              </w:rPr>
            </w:pPr>
            <w:r>
              <w:rPr>
                <w:b/>
                <w:sz w:val="18"/>
              </w:rPr>
              <w:t>Engagement Score Components</w:t>
            </w:r>
          </w:p>
          <w:p>
            <w:pPr>
              <w:pStyle w:val="TableParagraph"/>
              <w:rPr>
                <w:rFonts w:ascii="Verdana"/>
                <w:sz w:val="18"/>
              </w:rPr>
            </w:pPr>
          </w:p>
          <w:p>
            <w:pPr>
              <w:pStyle w:val="TableParagraph"/>
              <w:spacing w:before="1"/>
              <w:ind w:left="108"/>
              <w:rPr>
                <w:sz w:val="18"/>
              </w:rPr>
            </w:pPr>
            <w:r>
              <w:rPr>
                <w:sz w:val="18"/>
              </w:rPr>
              <w:t>As designed in SEATs.</w:t>
            </w:r>
          </w:p>
          <w:p>
            <w:pPr>
              <w:pStyle w:val="TableParagraph"/>
              <w:rPr>
                <w:rFonts w:ascii="Verdana"/>
                <w:sz w:val="18"/>
              </w:rPr>
            </w:pPr>
          </w:p>
          <w:p>
            <w:pPr>
              <w:pStyle w:val="TableParagraph"/>
              <w:spacing w:before="1"/>
              <w:ind w:left="108"/>
              <w:rPr>
                <w:b/>
                <w:sz w:val="18"/>
              </w:rPr>
            </w:pPr>
            <w:r>
              <w:rPr>
                <w:b/>
                <w:sz w:val="18"/>
              </w:rPr>
              <w:t>Additional Notes</w:t>
            </w:r>
          </w:p>
          <w:p>
            <w:pPr>
              <w:pStyle w:val="TableParagraph"/>
              <w:numPr>
                <w:ilvl w:val="0"/>
                <w:numId w:val="16"/>
              </w:numPr>
              <w:tabs>
                <w:tab w:pos="827" w:val="left" w:leader="none"/>
                <w:tab w:pos="829" w:val="left" w:leader="none"/>
              </w:tabs>
              <w:spacing w:line="240" w:lineRule="auto" w:before="0" w:after="0"/>
              <w:ind w:left="828" w:right="211" w:hanging="360"/>
              <w:jc w:val="left"/>
              <w:rPr>
                <w:sz w:val="18"/>
              </w:rPr>
            </w:pPr>
            <w:r>
              <w:rPr>
                <w:sz w:val="18"/>
              </w:rPr>
              <w:t>Students are assigned to an</w:t>
            </w:r>
            <w:r>
              <w:rPr>
                <w:color w:val="0000FF"/>
                <w:sz w:val="18"/>
              </w:rPr>
              <w:t> </w:t>
            </w:r>
            <w:r>
              <w:rPr>
                <w:color w:val="0000FF"/>
                <w:sz w:val="18"/>
                <w:u w:val="single" w:color="0000FF"/>
              </w:rPr>
              <w:t>MTSS engagement tier</w:t>
            </w:r>
            <w:r>
              <w:rPr>
                <w:color w:val="0000FF"/>
                <w:sz w:val="18"/>
              </w:rPr>
              <w:t> </w:t>
            </w:r>
            <w:r>
              <w:rPr>
                <w:sz w:val="18"/>
              </w:rPr>
              <w:t>upon intake based on analysis of assessment data, historical data review, socio- demographic profiles, surveys, and needs</w:t>
            </w:r>
            <w:r>
              <w:rPr>
                <w:spacing w:val="-2"/>
                <w:sz w:val="18"/>
              </w:rPr>
              <w:t> </w:t>
            </w:r>
            <w:r>
              <w:rPr>
                <w:sz w:val="18"/>
              </w:rPr>
              <w:t>assessments.</w:t>
            </w:r>
          </w:p>
          <w:p>
            <w:pPr>
              <w:pStyle w:val="TableParagraph"/>
              <w:numPr>
                <w:ilvl w:val="0"/>
                <w:numId w:val="16"/>
              </w:numPr>
              <w:tabs>
                <w:tab w:pos="827" w:val="left" w:leader="none"/>
                <w:tab w:pos="829" w:val="left" w:leader="none"/>
              </w:tabs>
              <w:spacing w:line="240" w:lineRule="auto" w:before="0" w:after="0"/>
              <w:ind w:left="828" w:right="120" w:hanging="360"/>
              <w:jc w:val="left"/>
              <w:rPr>
                <w:sz w:val="18"/>
              </w:rPr>
            </w:pPr>
            <w:r>
              <w:rPr>
                <w:sz w:val="18"/>
              </w:rPr>
              <w:t>To calculate a student’s engagement score, traditional attendance metrics are interwoven with digital data </w:t>
            </w:r>
            <w:r>
              <w:rPr>
                <w:spacing w:val="-4"/>
                <w:sz w:val="18"/>
              </w:rPr>
              <w:t>from </w:t>
            </w:r>
            <w:r>
              <w:rPr>
                <w:sz w:val="18"/>
              </w:rPr>
              <w:t>timetables, socio-demographic profiles, and historical data and tracked in</w:t>
            </w:r>
            <w:r>
              <w:rPr>
                <w:spacing w:val="-2"/>
                <w:sz w:val="18"/>
              </w:rPr>
              <w:t> </w:t>
            </w:r>
            <w:r>
              <w:rPr>
                <w:sz w:val="18"/>
              </w:rPr>
              <w:t>SEATs.</w:t>
            </w:r>
          </w:p>
          <w:p>
            <w:pPr>
              <w:pStyle w:val="TableParagraph"/>
              <w:numPr>
                <w:ilvl w:val="0"/>
                <w:numId w:val="16"/>
              </w:numPr>
              <w:tabs>
                <w:tab w:pos="827" w:val="left" w:leader="none"/>
                <w:tab w:pos="829" w:val="left" w:leader="none"/>
              </w:tabs>
              <w:spacing w:line="240" w:lineRule="auto" w:before="0" w:after="0"/>
              <w:ind w:left="828" w:right="244" w:hanging="360"/>
              <w:jc w:val="left"/>
              <w:rPr>
                <w:sz w:val="18"/>
              </w:rPr>
            </w:pPr>
            <w:r>
              <w:rPr>
                <w:sz w:val="18"/>
              </w:rPr>
              <w:t>All students who are Full Academic Year (FAY) at the school level for</w:t>
            </w:r>
            <w:r>
              <w:rPr>
                <w:spacing w:val="-23"/>
                <w:sz w:val="18"/>
              </w:rPr>
              <w:t> </w:t>
            </w:r>
            <w:r>
              <w:rPr>
                <w:sz w:val="18"/>
              </w:rPr>
              <w:t>the state assessment released annually by OSSE will be included in this metric</w:t>
            </w:r>
          </w:p>
          <w:p>
            <w:pPr>
              <w:pStyle w:val="TableParagraph"/>
              <w:rPr>
                <w:rFonts w:ascii="Verdana"/>
                <w:sz w:val="22"/>
              </w:rPr>
            </w:pPr>
          </w:p>
          <w:p>
            <w:pPr>
              <w:pStyle w:val="TableParagraph"/>
              <w:spacing w:before="171"/>
              <w:ind w:left="108"/>
              <w:rPr>
                <w:b/>
                <w:sz w:val="18"/>
              </w:rPr>
            </w:pPr>
            <w:r>
              <w:rPr>
                <w:b/>
                <w:sz w:val="18"/>
              </w:rPr>
              <w:t>Systems</w:t>
            </w:r>
          </w:p>
          <w:p>
            <w:pPr>
              <w:pStyle w:val="TableParagraph"/>
              <w:ind w:left="108"/>
              <w:rPr>
                <w:sz w:val="18"/>
              </w:rPr>
            </w:pPr>
            <w:r>
              <w:rPr>
                <w:sz w:val="18"/>
              </w:rPr>
              <w:t>SEAtS Software System</w:t>
            </w:r>
          </w:p>
        </w:tc>
      </w:tr>
    </w:tbl>
    <w:sectPr>
      <w:pgSz w:w="12240" w:h="15840"/>
      <w:pgMar w:header="768" w:footer="0" w:top="100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ontserrat">
    <w:altName w:val="Montserrat"/>
    <w:charset w:val="0"/>
    <w:family w:val="roman"/>
    <w:pitch w:val="variable"/>
  </w:font>
  <w:font w:name="Arial">
    <w:altName w:val="Arial"/>
    <w:charset w:val="0"/>
    <w:family w:val="swiss"/>
    <w:pitch w:val="variable"/>
  </w:font>
  <w:font w:name="Verdana">
    <w:altName w:val="Verdana"/>
    <w:charset w:val="0"/>
    <w:family w:val="swiss"/>
    <w:pitch w:val="variable"/>
  </w:font>
  <w:font w:name="Verdana-BoldItalic">
    <w:altName w:val="Verdana-BoldItal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22272">
          <wp:simplePos x="0" y="0"/>
          <wp:positionH relativeFrom="page">
            <wp:posOffset>949270</wp:posOffset>
          </wp:positionH>
          <wp:positionV relativeFrom="page">
            <wp:posOffset>418411</wp:posOffset>
          </wp:positionV>
          <wp:extent cx="478155" cy="478154"/>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478155" cy="47815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22784">
          <wp:simplePos x="0" y="0"/>
          <wp:positionH relativeFrom="page">
            <wp:posOffset>949270</wp:posOffset>
          </wp:positionH>
          <wp:positionV relativeFrom="page">
            <wp:posOffset>418411</wp:posOffset>
          </wp:positionV>
          <wp:extent cx="478155" cy="478154"/>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478155" cy="478154"/>
                  </a:xfrm>
                  <a:prstGeom prst="rect">
                    <a:avLst/>
                  </a:prstGeom>
                </pic:spPr>
              </pic:pic>
            </a:graphicData>
          </a:graphic>
        </wp:anchor>
      </w:drawing>
    </w:r>
    <w:r>
      <w:rPr/>
      <w:pict>
        <v:shape style="position:absolute;margin-left:392.761292pt;margin-top:35.236561pt;width:148.450pt;height:26.3pt;mso-position-horizontal-relative:page;mso-position-vertical-relative:page;z-index:-16093184" type="#_x0000_t202" filled="false" stroked="false">
          <v:textbox inset="0,0,0,0">
            <w:txbxContent>
              <w:p>
                <w:pPr>
                  <w:spacing w:before="29"/>
                  <w:ind w:left="0" w:right="18" w:firstLine="0"/>
                  <w:jc w:val="right"/>
                  <w:rPr>
                    <w:rFonts w:ascii="Arial"/>
                    <w:b/>
                    <w:sz w:val="19"/>
                  </w:rPr>
                </w:pPr>
                <w:r>
                  <w:rPr>
                    <w:rFonts w:ascii="Arial"/>
                    <w:b/>
                    <w:w w:val="90"/>
                    <w:sz w:val="19"/>
                  </w:rPr>
                  <w:t>Charter  Amendment</w:t>
                </w:r>
                <w:r>
                  <w:rPr>
                    <w:rFonts w:ascii="Arial"/>
                    <w:b/>
                    <w:spacing w:val="16"/>
                    <w:w w:val="90"/>
                    <w:sz w:val="19"/>
                  </w:rPr>
                  <w:t> </w:t>
                </w:r>
                <w:r>
                  <w:rPr>
                    <w:rFonts w:ascii="Arial"/>
                    <w:b/>
                    <w:w w:val="90"/>
                    <w:sz w:val="19"/>
                  </w:rPr>
                  <w:t>Application</w:t>
                </w:r>
              </w:p>
              <w:p>
                <w:pPr>
                  <w:spacing w:before="26"/>
                  <w:ind w:left="0" w:right="18" w:firstLine="0"/>
                  <w:jc w:val="right"/>
                  <w:rPr>
                    <w:rFonts w:ascii="Arial"/>
                    <w:b/>
                    <w:sz w:val="19"/>
                  </w:rPr>
                </w:pPr>
                <w:r>
                  <w:rPr>
                    <w:rFonts w:ascii="Arial"/>
                    <w:b/>
                    <w:sz w:val="19"/>
                  </w:rPr>
                  <w:t>**Please</w:t>
                </w:r>
                <w:r>
                  <w:rPr>
                    <w:rFonts w:ascii="Arial"/>
                    <w:b/>
                    <w:spacing w:val="-36"/>
                    <w:sz w:val="19"/>
                  </w:rPr>
                  <w:t> </w:t>
                </w:r>
                <w:r>
                  <w:rPr>
                    <w:rFonts w:ascii="Arial"/>
                    <w:b/>
                    <w:sz w:val="19"/>
                  </w:rPr>
                  <w:t>be</w:t>
                </w:r>
                <w:r>
                  <w:rPr>
                    <w:rFonts w:ascii="Arial"/>
                    <w:b/>
                    <w:spacing w:val="-35"/>
                    <w:sz w:val="19"/>
                  </w:rPr>
                  <w:t> </w:t>
                </w:r>
                <w:r>
                  <w:rPr>
                    <w:rFonts w:ascii="Arial"/>
                    <w:b/>
                    <w:sz w:val="19"/>
                  </w:rPr>
                  <w:t>sure</w:t>
                </w:r>
                <w:r>
                  <w:rPr>
                    <w:rFonts w:ascii="Arial"/>
                    <w:b/>
                    <w:spacing w:val="-36"/>
                    <w:sz w:val="19"/>
                  </w:rPr>
                  <w:t> </w:t>
                </w:r>
                <w:r>
                  <w:rPr>
                    <w:rFonts w:ascii="Arial"/>
                    <w:b/>
                    <w:sz w:val="19"/>
                  </w:rPr>
                  <w:t>to</w:t>
                </w:r>
                <w:r>
                  <w:rPr>
                    <w:rFonts w:ascii="Arial"/>
                    <w:b/>
                    <w:spacing w:val="-35"/>
                    <w:sz w:val="19"/>
                  </w:rPr>
                  <w:t> </w:t>
                </w:r>
                <w:r>
                  <w:rPr>
                    <w:rFonts w:ascii="Arial"/>
                    <w:b/>
                    <w:sz w:val="19"/>
                  </w:rPr>
                  <w:t>complete</w:t>
                </w:r>
                <w:r>
                  <w:rPr>
                    <w:rFonts w:ascii="Arial"/>
                    <w:b/>
                    <w:spacing w:val="-35"/>
                    <w:sz w:val="19"/>
                  </w:rPr>
                  <w:t> </w:t>
                </w:r>
                <w:r>
                  <w:rPr>
                    <w:rFonts w:ascii="Arial"/>
                    <w:b/>
                    <w:sz w:val="19"/>
                  </w:rPr>
                  <w:t>Part</w:t>
                </w:r>
                <w:r>
                  <w:rPr>
                    <w:rFonts w:ascii="Arial"/>
                    <w:b/>
                    <w:spacing w:val="-36"/>
                    <w:sz w:val="19"/>
                  </w:rPr>
                  <w:t> </w:t>
                </w:r>
                <w:r>
                  <w:rPr>
                    <w:rFonts w:ascii="Arial"/>
                    <w:b/>
                    <w:sz w:val="19"/>
                  </w:rPr>
                  <w:t>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419998pt;margin-top:37.400002pt;width:163.35pt;height:14pt;mso-position-horizontal-relative:page;mso-position-vertical-relative:page;z-index:-16092672" type="#_x0000_t202" filled="false" stroked="false">
          <v:textbox inset="0,0,0,0">
            <w:txbxContent>
              <w:p>
                <w:pPr>
                  <w:spacing w:line="251" w:lineRule="exact" w:before="0"/>
                  <w:ind w:left="20" w:right="0" w:firstLine="0"/>
                  <w:jc w:val="left"/>
                  <w:rPr>
                    <w:rFonts w:ascii="Arial"/>
                    <w:sz w:val="24"/>
                  </w:rPr>
                </w:pPr>
                <w:r>
                  <w:rPr>
                    <w:rFonts w:ascii="Arial"/>
                    <w:w w:val="90"/>
                    <w:sz w:val="24"/>
                  </w:rPr>
                  <w:t>Kingsman</w:t>
                </w:r>
                <w:r>
                  <w:rPr>
                    <w:rFonts w:ascii="Arial"/>
                    <w:spacing w:val="-22"/>
                    <w:w w:val="90"/>
                    <w:sz w:val="24"/>
                  </w:rPr>
                  <w:t> </w:t>
                </w:r>
                <w:r>
                  <w:rPr>
                    <w:rFonts w:ascii="Arial"/>
                    <w:w w:val="90"/>
                    <w:sz w:val="24"/>
                  </w:rPr>
                  <w:t>PCS</w:t>
                </w:r>
                <w:r>
                  <w:rPr>
                    <w:rFonts w:ascii="Arial"/>
                    <w:spacing w:val="-22"/>
                    <w:w w:val="90"/>
                    <w:sz w:val="24"/>
                  </w:rPr>
                  <w:t> </w:t>
                </w:r>
                <w:r>
                  <w:rPr>
                    <w:rFonts w:ascii="Arial"/>
                    <w:w w:val="90"/>
                    <w:sz w:val="24"/>
                  </w:rPr>
                  <w:t>Amendment</w:t>
                </w:r>
                <w:r>
                  <w:rPr>
                    <w:rFonts w:ascii="Arial"/>
                    <w:spacing w:val="-21"/>
                    <w:w w:val="90"/>
                    <w:sz w:val="24"/>
                  </w:rPr>
                  <w:t> </w:t>
                </w:r>
                <w:r>
                  <w:rPr>
                    <w:rFonts w:ascii="Arial"/>
                    <w:w w:val="90"/>
                    <w:sz w:val="24"/>
                  </w:rPr>
                  <w:t>Table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828" w:hanging="360"/>
      </w:pPr>
      <w:rPr>
        <w:rFonts w:hint="default" w:ascii="Times New Roman" w:hAnsi="Times New Roman" w:eastAsia="Times New Roman" w:cs="Times New Roman"/>
        <w:w w:val="100"/>
        <w:sz w:val="18"/>
        <w:szCs w:val="18"/>
      </w:rPr>
    </w:lvl>
    <w:lvl w:ilvl="1">
      <w:start w:val="0"/>
      <w:numFmt w:val="bullet"/>
      <w:lvlText w:val="•"/>
      <w:lvlJc w:val="left"/>
      <w:pPr>
        <w:ind w:left="1169" w:hanging="360"/>
      </w:pPr>
      <w:rPr>
        <w:rFonts w:hint="default"/>
      </w:rPr>
    </w:lvl>
    <w:lvl w:ilvl="2">
      <w:start w:val="0"/>
      <w:numFmt w:val="bullet"/>
      <w:lvlText w:val="•"/>
      <w:lvlJc w:val="left"/>
      <w:pPr>
        <w:ind w:left="1518"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565" w:hanging="360"/>
      </w:pPr>
      <w:rPr>
        <w:rFonts w:hint="default"/>
      </w:rPr>
    </w:lvl>
    <w:lvl w:ilvl="6">
      <w:start w:val="0"/>
      <w:numFmt w:val="bullet"/>
      <w:lvlText w:val="•"/>
      <w:lvlJc w:val="left"/>
      <w:pPr>
        <w:ind w:left="2914" w:hanging="360"/>
      </w:pPr>
      <w:rPr>
        <w:rFonts w:hint="default"/>
      </w:rPr>
    </w:lvl>
    <w:lvl w:ilvl="7">
      <w:start w:val="0"/>
      <w:numFmt w:val="bullet"/>
      <w:lvlText w:val="•"/>
      <w:lvlJc w:val="left"/>
      <w:pPr>
        <w:ind w:left="3263" w:hanging="360"/>
      </w:pPr>
      <w:rPr>
        <w:rFonts w:hint="default"/>
      </w:rPr>
    </w:lvl>
    <w:lvl w:ilvl="8">
      <w:start w:val="0"/>
      <w:numFmt w:val="bullet"/>
      <w:lvlText w:val="•"/>
      <w:lvlJc w:val="left"/>
      <w:pPr>
        <w:ind w:left="3612" w:hanging="360"/>
      </w:pPr>
      <w:rPr>
        <w:rFonts w:hint="default"/>
      </w:rPr>
    </w:lvl>
  </w:abstractNum>
  <w:abstractNum w:abstractNumId="14">
    <w:multiLevelType w:val="hybridMultilevel"/>
    <w:lvl w:ilvl="0">
      <w:start w:val="0"/>
      <w:numFmt w:val="bullet"/>
      <w:lvlText w:val="●"/>
      <w:lvlJc w:val="left"/>
      <w:pPr>
        <w:ind w:left="828" w:hanging="360"/>
      </w:pPr>
      <w:rPr>
        <w:rFonts w:hint="default" w:ascii="Times New Roman" w:hAnsi="Times New Roman" w:eastAsia="Times New Roman" w:cs="Times New Roman"/>
        <w:w w:val="100"/>
        <w:sz w:val="18"/>
        <w:szCs w:val="18"/>
      </w:rPr>
    </w:lvl>
    <w:lvl w:ilvl="1">
      <w:start w:val="0"/>
      <w:numFmt w:val="bullet"/>
      <w:lvlText w:val="○"/>
      <w:lvlJc w:val="left"/>
      <w:pPr>
        <w:ind w:left="1173" w:hanging="360"/>
      </w:pPr>
      <w:rPr>
        <w:rFonts w:hint="default" w:ascii="Times New Roman" w:hAnsi="Times New Roman" w:eastAsia="Times New Roman" w:cs="Times New Roman"/>
        <w:w w:val="100"/>
        <w:sz w:val="18"/>
        <w:szCs w:val="18"/>
      </w:rPr>
    </w:lvl>
    <w:lvl w:ilvl="2">
      <w:start w:val="0"/>
      <w:numFmt w:val="bullet"/>
      <w:lvlText w:val="•"/>
      <w:lvlJc w:val="left"/>
      <w:pPr>
        <w:ind w:left="1527" w:hanging="360"/>
      </w:pPr>
      <w:rPr>
        <w:rFonts w:hint="default"/>
      </w:rPr>
    </w:lvl>
    <w:lvl w:ilvl="3">
      <w:start w:val="0"/>
      <w:numFmt w:val="bullet"/>
      <w:lvlText w:val="•"/>
      <w:lvlJc w:val="left"/>
      <w:pPr>
        <w:ind w:left="1875" w:hanging="360"/>
      </w:pPr>
      <w:rPr>
        <w:rFonts w:hint="default"/>
      </w:rPr>
    </w:lvl>
    <w:lvl w:ilvl="4">
      <w:start w:val="0"/>
      <w:numFmt w:val="bullet"/>
      <w:lvlText w:val="•"/>
      <w:lvlJc w:val="left"/>
      <w:pPr>
        <w:ind w:left="2223" w:hanging="360"/>
      </w:pPr>
      <w:rPr>
        <w:rFonts w:hint="default"/>
      </w:rPr>
    </w:lvl>
    <w:lvl w:ilvl="5">
      <w:start w:val="0"/>
      <w:numFmt w:val="bullet"/>
      <w:lvlText w:val="•"/>
      <w:lvlJc w:val="left"/>
      <w:pPr>
        <w:ind w:left="2571" w:hanging="360"/>
      </w:pPr>
      <w:rPr>
        <w:rFonts w:hint="default"/>
      </w:rPr>
    </w:lvl>
    <w:lvl w:ilvl="6">
      <w:start w:val="0"/>
      <w:numFmt w:val="bullet"/>
      <w:lvlText w:val="•"/>
      <w:lvlJc w:val="left"/>
      <w:pPr>
        <w:ind w:left="2919" w:hanging="360"/>
      </w:pPr>
      <w:rPr>
        <w:rFonts w:hint="default"/>
      </w:rPr>
    </w:lvl>
    <w:lvl w:ilvl="7">
      <w:start w:val="0"/>
      <w:numFmt w:val="bullet"/>
      <w:lvlText w:val="•"/>
      <w:lvlJc w:val="left"/>
      <w:pPr>
        <w:ind w:left="3267" w:hanging="360"/>
      </w:pPr>
      <w:rPr>
        <w:rFonts w:hint="default"/>
      </w:rPr>
    </w:lvl>
    <w:lvl w:ilvl="8">
      <w:start w:val="0"/>
      <w:numFmt w:val="bullet"/>
      <w:lvlText w:val="•"/>
      <w:lvlJc w:val="left"/>
      <w:pPr>
        <w:ind w:left="3615" w:hanging="360"/>
      </w:pPr>
      <w:rPr>
        <w:rFonts w:hint="default"/>
      </w:rPr>
    </w:lvl>
  </w:abstractNum>
  <w:abstractNum w:abstractNumId="13">
    <w:multiLevelType w:val="hybridMultilevel"/>
    <w:lvl w:ilvl="0">
      <w:start w:val="0"/>
      <w:numFmt w:val="bullet"/>
      <w:lvlText w:val="●"/>
      <w:lvlJc w:val="left"/>
      <w:pPr>
        <w:ind w:left="828" w:hanging="360"/>
      </w:pPr>
      <w:rPr>
        <w:rFonts w:hint="default" w:ascii="Times New Roman" w:hAnsi="Times New Roman" w:eastAsia="Times New Roman" w:cs="Times New Roman"/>
        <w:w w:val="100"/>
        <w:sz w:val="18"/>
        <w:szCs w:val="18"/>
      </w:rPr>
    </w:lvl>
    <w:lvl w:ilvl="1">
      <w:start w:val="0"/>
      <w:numFmt w:val="bullet"/>
      <w:lvlText w:val="•"/>
      <w:lvlJc w:val="left"/>
      <w:pPr>
        <w:ind w:left="1169" w:hanging="360"/>
      </w:pPr>
      <w:rPr>
        <w:rFonts w:hint="default"/>
      </w:rPr>
    </w:lvl>
    <w:lvl w:ilvl="2">
      <w:start w:val="0"/>
      <w:numFmt w:val="bullet"/>
      <w:lvlText w:val="•"/>
      <w:lvlJc w:val="left"/>
      <w:pPr>
        <w:ind w:left="1518"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565" w:hanging="360"/>
      </w:pPr>
      <w:rPr>
        <w:rFonts w:hint="default"/>
      </w:rPr>
    </w:lvl>
    <w:lvl w:ilvl="6">
      <w:start w:val="0"/>
      <w:numFmt w:val="bullet"/>
      <w:lvlText w:val="•"/>
      <w:lvlJc w:val="left"/>
      <w:pPr>
        <w:ind w:left="2914" w:hanging="360"/>
      </w:pPr>
      <w:rPr>
        <w:rFonts w:hint="default"/>
      </w:rPr>
    </w:lvl>
    <w:lvl w:ilvl="7">
      <w:start w:val="0"/>
      <w:numFmt w:val="bullet"/>
      <w:lvlText w:val="•"/>
      <w:lvlJc w:val="left"/>
      <w:pPr>
        <w:ind w:left="3263" w:hanging="360"/>
      </w:pPr>
      <w:rPr>
        <w:rFonts w:hint="default"/>
      </w:rPr>
    </w:lvl>
    <w:lvl w:ilvl="8">
      <w:start w:val="0"/>
      <w:numFmt w:val="bullet"/>
      <w:lvlText w:val="•"/>
      <w:lvlJc w:val="left"/>
      <w:pPr>
        <w:ind w:left="3612" w:hanging="360"/>
      </w:pPr>
      <w:rPr>
        <w:rFonts w:hint="default"/>
      </w:rPr>
    </w:lvl>
  </w:abstractNum>
  <w:abstractNum w:abstractNumId="12">
    <w:multiLevelType w:val="hybridMultilevel"/>
    <w:lvl w:ilvl="0">
      <w:start w:val="0"/>
      <w:numFmt w:val="bullet"/>
      <w:lvlText w:val="●"/>
      <w:lvlJc w:val="left"/>
      <w:pPr>
        <w:ind w:left="827" w:hanging="360"/>
      </w:pPr>
      <w:rPr>
        <w:rFonts w:hint="default" w:ascii="Times New Roman" w:hAnsi="Times New Roman" w:eastAsia="Times New Roman" w:cs="Times New Roman"/>
        <w:w w:val="100"/>
        <w:sz w:val="18"/>
        <w:szCs w:val="18"/>
      </w:rPr>
    </w:lvl>
    <w:lvl w:ilvl="1">
      <w:start w:val="0"/>
      <w:numFmt w:val="bullet"/>
      <w:lvlText w:val="•"/>
      <w:lvlJc w:val="left"/>
      <w:pPr>
        <w:ind w:left="1169" w:hanging="360"/>
      </w:pPr>
      <w:rPr>
        <w:rFonts w:hint="default"/>
      </w:rPr>
    </w:lvl>
    <w:lvl w:ilvl="2">
      <w:start w:val="0"/>
      <w:numFmt w:val="bullet"/>
      <w:lvlText w:val="•"/>
      <w:lvlJc w:val="left"/>
      <w:pPr>
        <w:ind w:left="1518"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565" w:hanging="360"/>
      </w:pPr>
      <w:rPr>
        <w:rFonts w:hint="default"/>
      </w:rPr>
    </w:lvl>
    <w:lvl w:ilvl="6">
      <w:start w:val="0"/>
      <w:numFmt w:val="bullet"/>
      <w:lvlText w:val="•"/>
      <w:lvlJc w:val="left"/>
      <w:pPr>
        <w:ind w:left="2914" w:hanging="360"/>
      </w:pPr>
      <w:rPr>
        <w:rFonts w:hint="default"/>
      </w:rPr>
    </w:lvl>
    <w:lvl w:ilvl="7">
      <w:start w:val="0"/>
      <w:numFmt w:val="bullet"/>
      <w:lvlText w:val="•"/>
      <w:lvlJc w:val="left"/>
      <w:pPr>
        <w:ind w:left="3263" w:hanging="360"/>
      </w:pPr>
      <w:rPr>
        <w:rFonts w:hint="default"/>
      </w:rPr>
    </w:lvl>
    <w:lvl w:ilvl="8">
      <w:start w:val="0"/>
      <w:numFmt w:val="bullet"/>
      <w:lvlText w:val="•"/>
      <w:lvlJc w:val="left"/>
      <w:pPr>
        <w:ind w:left="3612" w:hanging="360"/>
      </w:pPr>
      <w:rPr>
        <w:rFonts w:hint="default"/>
      </w:rPr>
    </w:lvl>
  </w:abstractNum>
  <w:abstractNum w:abstractNumId="11">
    <w:multiLevelType w:val="hybridMultilevel"/>
    <w:lvl w:ilvl="0">
      <w:start w:val="0"/>
      <w:numFmt w:val="bullet"/>
      <w:lvlText w:val="●"/>
      <w:lvlJc w:val="left"/>
      <w:pPr>
        <w:ind w:left="827" w:hanging="360"/>
      </w:pPr>
      <w:rPr>
        <w:rFonts w:hint="default" w:ascii="Times New Roman" w:hAnsi="Times New Roman" w:eastAsia="Times New Roman" w:cs="Times New Roman"/>
        <w:w w:val="100"/>
        <w:sz w:val="18"/>
        <w:szCs w:val="18"/>
      </w:rPr>
    </w:lvl>
    <w:lvl w:ilvl="1">
      <w:start w:val="0"/>
      <w:numFmt w:val="bullet"/>
      <w:lvlText w:val="•"/>
      <w:lvlJc w:val="left"/>
      <w:pPr>
        <w:ind w:left="1169" w:hanging="360"/>
      </w:pPr>
      <w:rPr>
        <w:rFonts w:hint="default"/>
      </w:rPr>
    </w:lvl>
    <w:lvl w:ilvl="2">
      <w:start w:val="0"/>
      <w:numFmt w:val="bullet"/>
      <w:lvlText w:val="•"/>
      <w:lvlJc w:val="left"/>
      <w:pPr>
        <w:ind w:left="1518"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565" w:hanging="360"/>
      </w:pPr>
      <w:rPr>
        <w:rFonts w:hint="default"/>
      </w:rPr>
    </w:lvl>
    <w:lvl w:ilvl="6">
      <w:start w:val="0"/>
      <w:numFmt w:val="bullet"/>
      <w:lvlText w:val="•"/>
      <w:lvlJc w:val="left"/>
      <w:pPr>
        <w:ind w:left="2914" w:hanging="360"/>
      </w:pPr>
      <w:rPr>
        <w:rFonts w:hint="default"/>
      </w:rPr>
    </w:lvl>
    <w:lvl w:ilvl="7">
      <w:start w:val="0"/>
      <w:numFmt w:val="bullet"/>
      <w:lvlText w:val="•"/>
      <w:lvlJc w:val="left"/>
      <w:pPr>
        <w:ind w:left="3263" w:hanging="360"/>
      </w:pPr>
      <w:rPr>
        <w:rFonts w:hint="default"/>
      </w:rPr>
    </w:lvl>
    <w:lvl w:ilvl="8">
      <w:start w:val="0"/>
      <w:numFmt w:val="bullet"/>
      <w:lvlText w:val="•"/>
      <w:lvlJc w:val="left"/>
      <w:pPr>
        <w:ind w:left="3612" w:hanging="360"/>
      </w:pPr>
      <w:rPr>
        <w:rFonts w:hint="default"/>
      </w:rPr>
    </w:lvl>
  </w:abstractNum>
  <w:abstractNum w:abstractNumId="10">
    <w:multiLevelType w:val="hybridMultilevel"/>
    <w:lvl w:ilvl="0">
      <w:start w:val="0"/>
      <w:numFmt w:val="bullet"/>
      <w:lvlText w:val="●"/>
      <w:lvlJc w:val="left"/>
      <w:pPr>
        <w:ind w:left="828" w:hanging="360"/>
      </w:pPr>
      <w:rPr>
        <w:rFonts w:hint="default" w:ascii="Times New Roman" w:hAnsi="Times New Roman" w:eastAsia="Times New Roman" w:cs="Times New Roman"/>
        <w:w w:val="100"/>
        <w:sz w:val="18"/>
        <w:szCs w:val="18"/>
      </w:rPr>
    </w:lvl>
    <w:lvl w:ilvl="1">
      <w:start w:val="0"/>
      <w:numFmt w:val="bullet"/>
      <w:lvlText w:val="•"/>
      <w:lvlJc w:val="left"/>
      <w:pPr>
        <w:ind w:left="1169" w:hanging="360"/>
      </w:pPr>
      <w:rPr>
        <w:rFonts w:hint="default"/>
      </w:rPr>
    </w:lvl>
    <w:lvl w:ilvl="2">
      <w:start w:val="0"/>
      <w:numFmt w:val="bullet"/>
      <w:lvlText w:val="•"/>
      <w:lvlJc w:val="left"/>
      <w:pPr>
        <w:ind w:left="1518"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565" w:hanging="360"/>
      </w:pPr>
      <w:rPr>
        <w:rFonts w:hint="default"/>
      </w:rPr>
    </w:lvl>
    <w:lvl w:ilvl="6">
      <w:start w:val="0"/>
      <w:numFmt w:val="bullet"/>
      <w:lvlText w:val="•"/>
      <w:lvlJc w:val="left"/>
      <w:pPr>
        <w:ind w:left="2914" w:hanging="360"/>
      </w:pPr>
      <w:rPr>
        <w:rFonts w:hint="default"/>
      </w:rPr>
    </w:lvl>
    <w:lvl w:ilvl="7">
      <w:start w:val="0"/>
      <w:numFmt w:val="bullet"/>
      <w:lvlText w:val="•"/>
      <w:lvlJc w:val="left"/>
      <w:pPr>
        <w:ind w:left="3263" w:hanging="360"/>
      </w:pPr>
      <w:rPr>
        <w:rFonts w:hint="default"/>
      </w:rPr>
    </w:lvl>
    <w:lvl w:ilvl="8">
      <w:start w:val="0"/>
      <w:numFmt w:val="bullet"/>
      <w:lvlText w:val="•"/>
      <w:lvlJc w:val="left"/>
      <w:pPr>
        <w:ind w:left="3612" w:hanging="360"/>
      </w:pPr>
      <w:rPr>
        <w:rFonts w:hint="default"/>
      </w:rPr>
    </w:lvl>
  </w:abstractNum>
  <w:abstractNum w:abstractNumId="9">
    <w:multiLevelType w:val="hybridMultilevel"/>
    <w:lvl w:ilvl="0">
      <w:start w:val="0"/>
      <w:numFmt w:val="bullet"/>
      <w:lvlText w:val="•"/>
      <w:lvlJc w:val="left"/>
      <w:pPr>
        <w:ind w:left="540" w:hanging="360"/>
      </w:pPr>
      <w:rPr>
        <w:rFonts w:hint="default" w:ascii="Arial" w:hAnsi="Arial" w:eastAsia="Arial" w:cs="Arial"/>
        <w:w w:val="131"/>
        <w:sz w:val="18"/>
        <w:szCs w:val="18"/>
      </w:rPr>
    </w:lvl>
    <w:lvl w:ilvl="1">
      <w:start w:val="0"/>
      <w:numFmt w:val="bullet"/>
      <w:lvlText w:val="•"/>
      <w:lvlJc w:val="left"/>
      <w:pPr>
        <w:ind w:left="917" w:hanging="360"/>
      </w:pPr>
      <w:rPr>
        <w:rFonts w:hint="default"/>
      </w:rPr>
    </w:lvl>
    <w:lvl w:ilvl="2">
      <w:start w:val="0"/>
      <w:numFmt w:val="bullet"/>
      <w:lvlText w:val="•"/>
      <w:lvlJc w:val="left"/>
      <w:pPr>
        <w:ind w:left="1294"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2048" w:hanging="360"/>
      </w:pPr>
      <w:rPr>
        <w:rFonts w:hint="default"/>
      </w:rPr>
    </w:lvl>
    <w:lvl w:ilvl="5">
      <w:start w:val="0"/>
      <w:numFmt w:val="bullet"/>
      <w:lvlText w:val="•"/>
      <w:lvlJc w:val="left"/>
      <w:pPr>
        <w:ind w:left="2425" w:hanging="360"/>
      </w:pPr>
      <w:rPr>
        <w:rFonts w:hint="default"/>
      </w:rPr>
    </w:lvl>
    <w:lvl w:ilvl="6">
      <w:start w:val="0"/>
      <w:numFmt w:val="bullet"/>
      <w:lvlText w:val="•"/>
      <w:lvlJc w:val="left"/>
      <w:pPr>
        <w:ind w:left="2802" w:hanging="360"/>
      </w:pPr>
      <w:rPr>
        <w:rFonts w:hint="default"/>
      </w:rPr>
    </w:lvl>
    <w:lvl w:ilvl="7">
      <w:start w:val="0"/>
      <w:numFmt w:val="bullet"/>
      <w:lvlText w:val="•"/>
      <w:lvlJc w:val="left"/>
      <w:pPr>
        <w:ind w:left="3179" w:hanging="360"/>
      </w:pPr>
      <w:rPr>
        <w:rFonts w:hint="default"/>
      </w:rPr>
    </w:lvl>
    <w:lvl w:ilvl="8">
      <w:start w:val="0"/>
      <w:numFmt w:val="bullet"/>
      <w:lvlText w:val="•"/>
      <w:lvlJc w:val="left"/>
      <w:pPr>
        <w:ind w:left="3556" w:hanging="360"/>
      </w:pPr>
      <w:rPr>
        <w:rFonts w:hint="default"/>
      </w:rPr>
    </w:lvl>
  </w:abstractNum>
  <w:abstractNum w:abstractNumId="8">
    <w:multiLevelType w:val="hybridMultilevel"/>
    <w:lvl w:ilvl="0">
      <w:start w:val="0"/>
      <w:numFmt w:val="bullet"/>
      <w:lvlText w:val="•"/>
      <w:lvlJc w:val="left"/>
      <w:pPr>
        <w:ind w:left="540" w:hanging="360"/>
      </w:pPr>
      <w:rPr>
        <w:rFonts w:hint="default" w:ascii="Arial" w:hAnsi="Arial" w:eastAsia="Arial" w:cs="Arial"/>
        <w:w w:val="131"/>
        <w:sz w:val="18"/>
        <w:szCs w:val="18"/>
      </w:rPr>
    </w:lvl>
    <w:lvl w:ilvl="1">
      <w:start w:val="0"/>
      <w:numFmt w:val="bullet"/>
      <w:lvlText w:val="•"/>
      <w:lvlJc w:val="left"/>
      <w:pPr>
        <w:ind w:left="917" w:hanging="360"/>
      </w:pPr>
      <w:rPr>
        <w:rFonts w:hint="default"/>
      </w:rPr>
    </w:lvl>
    <w:lvl w:ilvl="2">
      <w:start w:val="0"/>
      <w:numFmt w:val="bullet"/>
      <w:lvlText w:val="•"/>
      <w:lvlJc w:val="left"/>
      <w:pPr>
        <w:ind w:left="1294"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2048" w:hanging="360"/>
      </w:pPr>
      <w:rPr>
        <w:rFonts w:hint="default"/>
      </w:rPr>
    </w:lvl>
    <w:lvl w:ilvl="5">
      <w:start w:val="0"/>
      <w:numFmt w:val="bullet"/>
      <w:lvlText w:val="•"/>
      <w:lvlJc w:val="left"/>
      <w:pPr>
        <w:ind w:left="2425" w:hanging="360"/>
      </w:pPr>
      <w:rPr>
        <w:rFonts w:hint="default"/>
      </w:rPr>
    </w:lvl>
    <w:lvl w:ilvl="6">
      <w:start w:val="0"/>
      <w:numFmt w:val="bullet"/>
      <w:lvlText w:val="•"/>
      <w:lvlJc w:val="left"/>
      <w:pPr>
        <w:ind w:left="2802" w:hanging="360"/>
      </w:pPr>
      <w:rPr>
        <w:rFonts w:hint="default"/>
      </w:rPr>
    </w:lvl>
    <w:lvl w:ilvl="7">
      <w:start w:val="0"/>
      <w:numFmt w:val="bullet"/>
      <w:lvlText w:val="•"/>
      <w:lvlJc w:val="left"/>
      <w:pPr>
        <w:ind w:left="3179" w:hanging="360"/>
      </w:pPr>
      <w:rPr>
        <w:rFonts w:hint="default"/>
      </w:rPr>
    </w:lvl>
    <w:lvl w:ilvl="8">
      <w:start w:val="0"/>
      <w:numFmt w:val="bullet"/>
      <w:lvlText w:val="•"/>
      <w:lvlJc w:val="left"/>
      <w:pPr>
        <w:ind w:left="3556" w:hanging="360"/>
      </w:pPr>
      <w:rPr>
        <w:rFonts w:hint="default"/>
      </w:rPr>
    </w:lvl>
  </w:abstractNum>
  <w:abstractNum w:abstractNumId="7">
    <w:multiLevelType w:val="hybridMultilevel"/>
    <w:lvl w:ilvl="0">
      <w:start w:val="1"/>
      <w:numFmt w:val="decimal"/>
      <w:lvlText w:val="%1."/>
      <w:lvlJc w:val="left"/>
      <w:pPr>
        <w:ind w:left="820" w:hanging="360"/>
        <w:jc w:val="left"/>
      </w:pPr>
      <w:rPr>
        <w:rFonts w:hint="default" w:ascii="Arial" w:hAnsi="Arial" w:eastAsia="Arial" w:cs="Arial"/>
        <w:color w:val="333333"/>
        <w:spacing w:val="0"/>
        <w:w w:val="103"/>
        <w:sz w:val="19"/>
        <w:szCs w:val="19"/>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1" w:hanging="360"/>
      </w:pPr>
      <w:rPr>
        <w:rFonts w:hint="default"/>
      </w:rPr>
    </w:lvl>
    <w:lvl w:ilvl="6">
      <w:start w:val="0"/>
      <w:numFmt w:val="bullet"/>
      <w:lvlText w:val="•"/>
      <w:lvlJc w:val="left"/>
      <w:pPr>
        <w:ind w:left="6053" w:hanging="360"/>
      </w:pPr>
      <w:rPr>
        <w:rFonts w:hint="default"/>
      </w:rPr>
    </w:lvl>
    <w:lvl w:ilvl="7">
      <w:start w:val="0"/>
      <w:numFmt w:val="bullet"/>
      <w:lvlText w:val="•"/>
      <w:lvlJc w:val="left"/>
      <w:pPr>
        <w:ind w:left="6925" w:hanging="360"/>
      </w:pPr>
      <w:rPr>
        <w:rFonts w:hint="default"/>
      </w:rPr>
    </w:lvl>
    <w:lvl w:ilvl="8">
      <w:start w:val="0"/>
      <w:numFmt w:val="bullet"/>
      <w:lvlText w:val="•"/>
      <w:lvlJc w:val="left"/>
      <w:pPr>
        <w:ind w:left="7797" w:hanging="360"/>
      </w:pPr>
      <w:rPr>
        <w:rFonts w:hint="default"/>
      </w:rPr>
    </w:lvl>
  </w:abstractNum>
  <w:abstractNum w:abstractNumId="6">
    <w:multiLevelType w:val="hybridMultilevel"/>
    <w:lvl w:ilvl="0">
      <w:start w:val="7"/>
      <w:numFmt w:val="decimal"/>
      <w:lvlText w:val="%1."/>
      <w:lvlJc w:val="left"/>
      <w:pPr>
        <w:ind w:left="835" w:hanging="360"/>
        <w:jc w:val="left"/>
      </w:pPr>
      <w:rPr>
        <w:rFonts w:hint="default" w:ascii="Arial" w:hAnsi="Arial" w:eastAsia="Arial" w:cs="Arial"/>
        <w:spacing w:val="0"/>
        <w:w w:val="103"/>
        <w:sz w:val="19"/>
        <w:szCs w:val="19"/>
      </w:rPr>
    </w:lvl>
    <w:lvl w:ilvl="1">
      <w:start w:val="0"/>
      <w:numFmt w:val="bullet"/>
      <w:lvlText w:val="•"/>
      <w:lvlJc w:val="left"/>
      <w:pPr>
        <w:ind w:left="1714" w:hanging="360"/>
      </w:pPr>
      <w:rPr>
        <w:rFonts w:hint="default"/>
      </w:rPr>
    </w:lvl>
    <w:lvl w:ilvl="2">
      <w:start w:val="0"/>
      <w:numFmt w:val="bullet"/>
      <w:lvlText w:val="•"/>
      <w:lvlJc w:val="left"/>
      <w:pPr>
        <w:ind w:left="2588"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336" w:hanging="360"/>
      </w:pPr>
      <w:rPr>
        <w:rFonts w:hint="default"/>
      </w:rPr>
    </w:lvl>
    <w:lvl w:ilvl="5">
      <w:start w:val="0"/>
      <w:numFmt w:val="bullet"/>
      <w:lvlText w:val="•"/>
      <w:lvlJc w:val="left"/>
      <w:pPr>
        <w:ind w:left="5210" w:hanging="360"/>
      </w:pPr>
      <w:rPr>
        <w:rFonts w:hint="default"/>
      </w:rPr>
    </w:lvl>
    <w:lvl w:ilvl="6">
      <w:start w:val="0"/>
      <w:numFmt w:val="bullet"/>
      <w:lvlText w:val="•"/>
      <w:lvlJc w:val="left"/>
      <w:pPr>
        <w:ind w:left="6084" w:hanging="360"/>
      </w:pPr>
      <w:rPr>
        <w:rFonts w:hint="default"/>
      </w:rPr>
    </w:lvl>
    <w:lvl w:ilvl="7">
      <w:start w:val="0"/>
      <w:numFmt w:val="bullet"/>
      <w:lvlText w:val="•"/>
      <w:lvlJc w:val="left"/>
      <w:pPr>
        <w:ind w:left="6958" w:hanging="360"/>
      </w:pPr>
      <w:rPr>
        <w:rFonts w:hint="default"/>
      </w:rPr>
    </w:lvl>
    <w:lvl w:ilvl="8">
      <w:start w:val="0"/>
      <w:numFmt w:val="bullet"/>
      <w:lvlText w:val="•"/>
      <w:lvlJc w:val="left"/>
      <w:pPr>
        <w:ind w:left="7832" w:hanging="360"/>
      </w:pPr>
      <w:rPr>
        <w:rFonts w:hint="default"/>
      </w:rPr>
    </w:lvl>
  </w:abstractNum>
  <w:abstractNum w:abstractNumId="5">
    <w:multiLevelType w:val="hybridMultilevel"/>
    <w:lvl w:ilvl="0">
      <w:start w:val="5"/>
      <w:numFmt w:val="decimal"/>
      <w:lvlText w:val="%1."/>
      <w:lvlJc w:val="left"/>
      <w:pPr>
        <w:ind w:left="835" w:hanging="360"/>
        <w:jc w:val="left"/>
      </w:pPr>
      <w:rPr>
        <w:rFonts w:hint="default" w:ascii="Arial" w:hAnsi="Arial" w:eastAsia="Arial" w:cs="Arial"/>
        <w:spacing w:val="0"/>
        <w:w w:val="103"/>
        <w:sz w:val="19"/>
        <w:szCs w:val="19"/>
      </w:rPr>
    </w:lvl>
    <w:lvl w:ilvl="1">
      <w:start w:val="1"/>
      <w:numFmt w:val="lowerLetter"/>
      <w:lvlText w:val="%2."/>
      <w:lvlJc w:val="left"/>
      <w:pPr>
        <w:ind w:left="1555" w:hanging="360"/>
        <w:jc w:val="left"/>
      </w:pPr>
      <w:rPr>
        <w:rFonts w:hint="default" w:ascii="Arial" w:hAnsi="Arial" w:eastAsia="Arial" w:cs="Arial"/>
        <w:spacing w:val="0"/>
        <w:w w:val="103"/>
        <w:sz w:val="19"/>
        <w:szCs w:val="19"/>
      </w:rPr>
    </w:lvl>
    <w:lvl w:ilvl="2">
      <w:start w:val="0"/>
      <w:numFmt w:val="bullet"/>
      <w:lvlText w:val="•"/>
      <w:lvlJc w:val="left"/>
      <w:pPr>
        <w:ind w:left="2451" w:hanging="360"/>
      </w:pPr>
      <w:rPr>
        <w:rFonts w:hint="default"/>
      </w:rPr>
    </w:lvl>
    <w:lvl w:ilvl="3">
      <w:start w:val="0"/>
      <w:numFmt w:val="bullet"/>
      <w:lvlText w:val="•"/>
      <w:lvlJc w:val="left"/>
      <w:pPr>
        <w:ind w:left="334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124" w:hanging="360"/>
      </w:pPr>
      <w:rPr>
        <w:rFonts w:hint="default"/>
      </w:rPr>
    </w:lvl>
    <w:lvl w:ilvl="6">
      <w:start w:val="0"/>
      <w:numFmt w:val="bullet"/>
      <w:lvlText w:val="•"/>
      <w:lvlJc w:val="left"/>
      <w:pPr>
        <w:ind w:left="6015" w:hanging="360"/>
      </w:pPr>
      <w:rPr>
        <w:rFonts w:hint="default"/>
      </w:rPr>
    </w:lvl>
    <w:lvl w:ilvl="7">
      <w:start w:val="0"/>
      <w:numFmt w:val="bullet"/>
      <w:lvlText w:val="•"/>
      <w:lvlJc w:val="left"/>
      <w:pPr>
        <w:ind w:left="6906" w:hanging="360"/>
      </w:pPr>
      <w:rPr>
        <w:rFonts w:hint="default"/>
      </w:rPr>
    </w:lvl>
    <w:lvl w:ilvl="8">
      <w:start w:val="0"/>
      <w:numFmt w:val="bullet"/>
      <w:lvlText w:val="•"/>
      <w:lvlJc w:val="left"/>
      <w:pPr>
        <w:ind w:left="7797" w:hanging="360"/>
      </w:pPr>
      <w:rPr>
        <w:rFonts w:hint="default"/>
      </w:rPr>
    </w:lvl>
  </w:abstractNum>
  <w:abstractNum w:abstractNumId="4">
    <w:multiLevelType w:val="hybridMultilevel"/>
    <w:lvl w:ilvl="0">
      <w:start w:val="3"/>
      <w:numFmt w:val="decimal"/>
      <w:lvlText w:val="%1."/>
      <w:lvlJc w:val="left"/>
      <w:pPr>
        <w:ind w:left="835" w:hanging="360"/>
        <w:jc w:val="left"/>
      </w:pPr>
      <w:rPr>
        <w:rFonts w:hint="default" w:ascii="Arial" w:hAnsi="Arial" w:eastAsia="Arial" w:cs="Arial"/>
        <w:spacing w:val="0"/>
        <w:w w:val="103"/>
        <w:sz w:val="19"/>
        <w:szCs w:val="19"/>
      </w:rPr>
    </w:lvl>
    <w:lvl w:ilvl="1">
      <w:start w:val="0"/>
      <w:numFmt w:val="bullet"/>
      <w:lvlText w:val="•"/>
      <w:lvlJc w:val="left"/>
      <w:pPr>
        <w:ind w:left="1714" w:hanging="360"/>
      </w:pPr>
      <w:rPr>
        <w:rFonts w:hint="default"/>
      </w:rPr>
    </w:lvl>
    <w:lvl w:ilvl="2">
      <w:start w:val="0"/>
      <w:numFmt w:val="bullet"/>
      <w:lvlText w:val="•"/>
      <w:lvlJc w:val="left"/>
      <w:pPr>
        <w:ind w:left="2588"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336" w:hanging="360"/>
      </w:pPr>
      <w:rPr>
        <w:rFonts w:hint="default"/>
      </w:rPr>
    </w:lvl>
    <w:lvl w:ilvl="5">
      <w:start w:val="0"/>
      <w:numFmt w:val="bullet"/>
      <w:lvlText w:val="•"/>
      <w:lvlJc w:val="left"/>
      <w:pPr>
        <w:ind w:left="5210" w:hanging="360"/>
      </w:pPr>
      <w:rPr>
        <w:rFonts w:hint="default"/>
      </w:rPr>
    </w:lvl>
    <w:lvl w:ilvl="6">
      <w:start w:val="0"/>
      <w:numFmt w:val="bullet"/>
      <w:lvlText w:val="•"/>
      <w:lvlJc w:val="left"/>
      <w:pPr>
        <w:ind w:left="6084" w:hanging="360"/>
      </w:pPr>
      <w:rPr>
        <w:rFonts w:hint="default"/>
      </w:rPr>
    </w:lvl>
    <w:lvl w:ilvl="7">
      <w:start w:val="0"/>
      <w:numFmt w:val="bullet"/>
      <w:lvlText w:val="•"/>
      <w:lvlJc w:val="left"/>
      <w:pPr>
        <w:ind w:left="6958" w:hanging="360"/>
      </w:pPr>
      <w:rPr>
        <w:rFonts w:hint="default"/>
      </w:rPr>
    </w:lvl>
    <w:lvl w:ilvl="8">
      <w:start w:val="0"/>
      <w:numFmt w:val="bullet"/>
      <w:lvlText w:val="•"/>
      <w:lvlJc w:val="left"/>
      <w:pPr>
        <w:ind w:left="7832" w:hanging="360"/>
      </w:pPr>
      <w:rPr>
        <w:rFonts w:hint="default"/>
      </w:rPr>
    </w:lvl>
  </w:abstractNum>
  <w:abstractNum w:abstractNumId="3">
    <w:multiLevelType w:val="hybridMultilevel"/>
    <w:lvl w:ilvl="0">
      <w:start w:val="1"/>
      <w:numFmt w:val="decimal"/>
      <w:lvlText w:val="%1."/>
      <w:lvlJc w:val="left"/>
      <w:pPr>
        <w:ind w:left="835" w:hanging="360"/>
        <w:jc w:val="left"/>
      </w:pPr>
      <w:rPr>
        <w:rFonts w:hint="default" w:ascii="Arial" w:hAnsi="Arial" w:eastAsia="Arial" w:cs="Arial"/>
        <w:spacing w:val="0"/>
        <w:w w:val="103"/>
        <w:sz w:val="19"/>
        <w:szCs w:val="19"/>
      </w:rPr>
    </w:lvl>
    <w:lvl w:ilvl="1">
      <w:start w:val="0"/>
      <w:numFmt w:val="bullet"/>
      <w:lvlText w:val="•"/>
      <w:lvlJc w:val="left"/>
      <w:pPr>
        <w:ind w:left="1714" w:hanging="360"/>
      </w:pPr>
      <w:rPr>
        <w:rFonts w:hint="default"/>
      </w:rPr>
    </w:lvl>
    <w:lvl w:ilvl="2">
      <w:start w:val="0"/>
      <w:numFmt w:val="bullet"/>
      <w:lvlText w:val="•"/>
      <w:lvlJc w:val="left"/>
      <w:pPr>
        <w:ind w:left="2588"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336" w:hanging="360"/>
      </w:pPr>
      <w:rPr>
        <w:rFonts w:hint="default"/>
      </w:rPr>
    </w:lvl>
    <w:lvl w:ilvl="5">
      <w:start w:val="0"/>
      <w:numFmt w:val="bullet"/>
      <w:lvlText w:val="•"/>
      <w:lvlJc w:val="left"/>
      <w:pPr>
        <w:ind w:left="5210" w:hanging="360"/>
      </w:pPr>
      <w:rPr>
        <w:rFonts w:hint="default"/>
      </w:rPr>
    </w:lvl>
    <w:lvl w:ilvl="6">
      <w:start w:val="0"/>
      <w:numFmt w:val="bullet"/>
      <w:lvlText w:val="•"/>
      <w:lvlJc w:val="left"/>
      <w:pPr>
        <w:ind w:left="6084" w:hanging="360"/>
      </w:pPr>
      <w:rPr>
        <w:rFonts w:hint="default"/>
      </w:rPr>
    </w:lvl>
    <w:lvl w:ilvl="7">
      <w:start w:val="0"/>
      <w:numFmt w:val="bullet"/>
      <w:lvlText w:val="•"/>
      <w:lvlJc w:val="left"/>
      <w:pPr>
        <w:ind w:left="6958" w:hanging="360"/>
      </w:pPr>
      <w:rPr>
        <w:rFonts w:hint="default"/>
      </w:rPr>
    </w:lvl>
    <w:lvl w:ilvl="8">
      <w:start w:val="0"/>
      <w:numFmt w:val="bullet"/>
      <w:lvlText w:val="•"/>
      <w:lvlJc w:val="left"/>
      <w:pPr>
        <w:ind w:left="7832" w:hanging="360"/>
      </w:pPr>
      <w:rPr>
        <w:rFonts w:hint="default"/>
      </w:rPr>
    </w:lvl>
  </w:abstractNum>
  <w:abstractNum w:abstractNumId="2">
    <w:multiLevelType w:val="hybridMultilevel"/>
    <w:lvl w:ilvl="0">
      <w:start w:val="1"/>
      <w:numFmt w:val="decimal"/>
      <w:lvlText w:val="%1."/>
      <w:lvlJc w:val="left"/>
      <w:pPr>
        <w:ind w:left="1204" w:hanging="360"/>
        <w:jc w:val="left"/>
      </w:pPr>
      <w:rPr>
        <w:rFonts w:hint="default" w:ascii="Verdana" w:hAnsi="Verdana" w:eastAsia="Verdana" w:cs="Verdana"/>
        <w:b/>
        <w:bCs/>
        <w:spacing w:val="0"/>
        <w:w w:val="103"/>
        <w:sz w:val="19"/>
        <w:szCs w:val="19"/>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1">
    <w:multiLevelType w:val="hybridMultilevel"/>
    <w:lvl w:ilvl="0">
      <w:start w:val="1"/>
      <w:numFmt w:val="decimal"/>
      <w:lvlText w:val="%1."/>
      <w:lvlJc w:val="left"/>
      <w:pPr>
        <w:ind w:left="1204" w:hanging="360"/>
        <w:jc w:val="left"/>
      </w:pPr>
      <w:rPr>
        <w:rFonts w:hint="default" w:ascii="Verdana" w:hAnsi="Verdana" w:eastAsia="Verdana" w:cs="Verdana"/>
        <w:b/>
        <w:bCs/>
        <w:spacing w:val="0"/>
        <w:w w:val="103"/>
        <w:sz w:val="19"/>
        <w:szCs w:val="19"/>
      </w:rPr>
    </w:lvl>
    <w:lvl w:ilvl="1">
      <w:start w:val="1"/>
      <w:numFmt w:val="lowerLetter"/>
      <w:lvlText w:val="%2."/>
      <w:lvlJc w:val="left"/>
      <w:pPr>
        <w:ind w:left="1564" w:hanging="360"/>
        <w:jc w:val="left"/>
      </w:pPr>
      <w:rPr>
        <w:rFonts w:hint="default" w:ascii="Verdana" w:hAnsi="Verdana" w:eastAsia="Verdana" w:cs="Verdana"/>
        <w:i/>
        <w:spacing w:val="0"/>
        <w:w w:val="103"/>
        <w:sz w:val="19"/>
        <w:szCs w:val="19"/>
      </w:rPr>
    </w:lvl>
    <w:lvl w:ilvl="2">
      <w:start w:val="0"/>
      <w:numFmt w:val="bullet"/>
      <w:lvlText w:val="•"/>
      <w:lvlJc w:val="left"/>
      <w:pPr>
        <w:ind w:left="2613" w:hanging="360"/>
      </w:pPr>
      <w:rPr>
        <w:rFonts w:hint="default"/>
      </w:rPr>
    </w:lvl>
    <w:lvl w:ilvl="3">
      <w:start w:val="0"/>
      <w:numFmt w:val="bullet"/>
      <w:lvlText w:val="•"/>
      <w:lvlJc w:val="left"/>
      <w:pPr>
        <w:ind w:left="3666" w:hanging="360"/>
      </w:pPr>
      <w:rPr>
        <w:rFonts w:hint="default"/>
      </w:rPr>
    </w:lvl>
    <w:lvl w:ilvl="4">
      <w:start w:val="0"/>
      <w:numFmt w:val="bullet"/>
      <w:lvlText w:val="•"/>
      <w:lvlJc w:val="left"/>
      <w:pPr>
        <w:ind w:left="4720" w:hanging="360"/>
      </w:pPr>
      <w:rPr>
        <w:rFonts w:hint="default"/>
      </w:rPr>
    </w:lvl>
    <w:lvl w:ilvl="5">
      <w:start w:val="0"/>
      <w:numFmt w:val="bullet"/>
      <w:lvlText w:val="•"/>
      <w:lvlJc w:val="left"/>
      <w:pPr>
        <w:ind w:left="5773" w:hanging="360"/>
      </w:pPr>
      <w:rPr>
        <w:rFonts w:hint="default"/>
      </w:rPr>
    </w:lvl>
    <w:lvl w:ilvl="6">
      <w:start w:val="0"/>
      <w:numFmt w:val="bullet"/>
      <w:lvlText w:val="•"/>
      <w:lvlJc w:val="left"/>
      <w:pPr>
        <w:ind w:left="6826" w:hanging="360"/>
      </w:pPr>
      <w:rPr>
        <w:rFonts w:hint="default"/>
      </w:rPr>
    </w:lvl>
    <w:lvl w:ilvl="7">
      <w:start w:val="0"/>
      <w:numFmt w:val="bullet"/>
      <w:lvlText w:val="•"/>
      <w:lvlJc w:val="left"/>
      <w:pPr>
        <w:ind w:left="7880" w:hanging="360"/>
      </w:pPr>
      <w:rPr>
        <w:rFonts w:hint="default"/>
      </w:rPr>
    </w:lvl>
    <w:lvl w:ilvl="8">
      <w:start w:val="0"/>
      <w:numFmt w:val="bullet"/>
      <w:lvlText w:val="•"/>
      <w:lvlJc w:val="left"/>
      <w:pPr>
        <w:ind w:left="8933" w:hanging="360"/>
      </w:pPr>
      <w:rPr>
        <w:rFonts w:hint="default"/>
      </w:rPr>
    </w:lvl>
  </w:abstractNum>
  <w:abstractNum w:abstractNumId="0">
    <w:multiLevelType w:val="hybridMultilevel"/>
    <w:lvl w:ilvl="0">
      <w:start w:val="1"/>
      <w:numFmt w:val="decimal"/>
      <w:lvlText w:val="%1."/>
      <w:lvlJc w:val="left"/>
      <w:pPr>
        <w:ind w:left="1204" w:hanging="360"/>
        <w:jc w:val="left"/>
      </w:pPr>
      <w:rPr>
        <w:rFonts w:hint="default" w:ascii="Verdana" w:hAnsi="Verdana" w:eastAsia="Verdana" w:cs="Verdana"/>
        <w:b/>
        <w:bCs/>
        <w:spacing w:val="0"/>
        <w:w w:val="103"/>
        <w:sz w:val="19"/>
        <w:szCs w:val="19"/>
      </w:rPr>
    </w:lvl>
    <w:lvl w:ilvl="1">
      <w:start w:val="1"/>
      <w:numFmt w:val="lowerLetter"/>
      <w:lvlText w:val="%2)"/>
      <w:lvlJc w:val="left"/>
      <w:pPr>
        <w:ind w:left="1564" w:hanging="360"/>
        <w:jc w:val="left"/>
      </w:pPr>
      <w:rPr>
        <w:rFonts w:hint="default" w:ascii="Verdana" w:hAnsi="Verdana" w:eastAsia="Verdana" w:cs="Verdana"/>
        <w:spacing w:val="0"/>
        <w:w w:val="103"/>
        <w:sz w:val="19"/>
        <w:szCs w:val="19"/>
      </w:rPr>
    </w:lvl>
    <w:lvl w:ilvl="2">
      <w:start w:val="0"/>
      <w:numFmt w:val="bullet"/>
      <w:lvlText w:val="•"/>
      <w:lvlJc w:val="left"/>
      <w:pPr>
        <w:ind w:left="2613" w:hanging="360"/>
      </w:pPr>
      <w:rPr>
        <w:rFonts w:hint="default"/>
      </w:rPr>
    </w:lvl>
    <w:lvl w:ilvl="3">
      <w:start w:val="0"/>
      <w:numFmt w:val="bullet"/>
      <w:lvlText w:val="•"/>
      <w:lvlJc w:val="left"/>
      <w:pPr>
        <w:ind w:left="3666" w:hanging="360"/>
      </w:pPr>
      <w:rPr>
        <w:rFonts w:hint="default"/>
      </w:rPr>
    </w:lvl>
    <w:lvl w:ilvl="4">
      <w:start w:val="0"/>
      <w:numFmt w:val="bullet"/>
      <w:lvlText w:val="•"/>
      <w:lvlJc w:val="left"/>
      <w:pPr>
        <w:ind w:left="4720" w:hanging="360"/>
      </w:pPr>
      <w:rPr>
        <w:rFonts w:hint="default"/>
      </w:rPr>
    </w:lvl>
    <w:lvl w:ilvl="5">
      <w:start w:val="0"/>
      <w:numFmt w:val="bullet"/>
      <w:lvlText w:val="•"/>
      <w:lvlJc w:val="left"/>
      <w:pPr>
        <w:ind w:left="5773" w:hanging="360"/>
      </w:pPr>
      <w:rPr>
        <w:rFonts w:hint="default"/>
      </w:rPr>
    </w:lvl>
    <w:lvl w:ilvl="6">
      <w:start w:val="0"/>
      <w:numFmt w:val="bullet"/>
      <w:lvlText w:val="•"/>
      <w:lvlJc w:val="left"/>
      <w:pPr>
        <w:ind w:left="6826" w:hanging="360"/>
      </w:pPr>
      <w:rPr>
        <w:rFonts w:hint="default"/>
      </w:rPr>
    </w:lvl>
    <w:lvl w:ilvl="7">
      <w:start w:val="0"/>
      <w:numFmt w:val="bullet"/>
      <w:lvlText w:val="•"/>
      <w:lvlJc w:val="left"/>
      <w:pPr>
        <w:ind w:left="7880" w:hanging="360"/>
      </w:pPr>
      <w:rPr>
        <w:rFonts w:hint="default"/>
      </w:rPr>
    </w:lvl>
    <w:lvl w:ilvl="8">
      <w:start w:val="0"/>
      <w:numFmt w:val="bullet"/>
      <w:lvlText w:val="•"/>
      <w:lvlJc w:val="left"/>
      <w:pPr>
        <w:ind w:left="8933" w:hanging="360"/>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19"/>
      <w:szCs w:val="19"/>
    </w:rPr>
  </w:style>
  <w:style w:styleId="Heading1" w:type="paragraph">
    <w:name w:val="Heading 1"/>
    <w:basedOn w:val="Normal"/>
    <w:uiPriority w:val="1"/>
    <w:qFormat/>
    <w:pPr>
      <w:spacing w:before="114"/>
      <w:ind w:left="1204" w:right="965"/>
      <w:outlineLvl w:val="1"/>
    </w:pPr>
    <w:rPr>
      <w:rFonts w:ascii="Verdana" w:hAnsi="Verdana" w:eastAsia="Verdana" w:cs="Verdana"/>
      <w:sz w:val="21"/>
      <w:szCs w:val="21"/>
    </w:rPr>
  </w:style>
  <w:style w:styleId="Heading2" w:type="paragraph">
    <w:name w:val="Heading 2"/>
    <w:basedOn w:val="Normal"/>
    <w:uiPriority w:val="1"/>
    <w:qFormat/>
    <w:pPr>
      <w:spacing w:before="107"/>
      <w:ind w:left="844"/>
      <w:outlineLvl w:val="2"/>
    </w:pPr>
    <w:rPr>
      <w:rFonts w:ascii="Verdana" w:hAnsi="Verdana" w:eastAsia="Verdana" w:cs="Verdana"/>
      <w:b/>
      <w:bCs/>
      <w:sz w:val="19"/>
      <w:szCs w:val="19"/>
    </w:rPr>
  </w:style>
  <w:style w:styleId="Title" w:type="paragraph">
    <w:name w:val="Title"/>
    <w:basedOn w:val="Normal"/>
    <w:uiPriority w:val="1"/>
    <w:qFormat/>
    <w:pPr>
      <w:spacing w:before="97"/>
      <w:ind w:left="2566" w:right="2557"/>
      <w:jc w:val="center"/>
    </w:pPr>
    <w:rPr>
      <w:rFonts w:ascii="Verdana" w:hAnsi="Verdana" w:eastAsia="Verdana" w:cs="Verdana"/>
      <w:b/>
      <w:bCs/>
      <w:sz w:val="24"/>
      <w:szCs w:val="24"/>
    </w:rPr>
  </w:style>
  <w:style w:styleId="ListParagraph" w:type="paragraph">
    <w:name w:val="List Paragraph"/>
    <w:basedOn w:val="Normal"/>
    <w:uiPriority w:val="1"/>
    <w:qFormat/>
    <w:pPr>
      <w:ind w:left="1204" w:hanging="360"/>
    </w:pPr>
    <w:rPr>
      <w:rFonts w:ascii="Verdana" w:hAnsi="Verdana" w:eastAsia="Verdana" w:cs="Verdana"/>
    </w:rPr>
  </w:style>
  <w:style w:styleId="TableParagraph" w:type="paragraph">
    <w:name w:val="Table Paragraph"/>
    <w:basedOn w:val="Normal"/>
    <w:uiPriority w:val="1"/>
    <w:qFormat/>
    <w:pPr/>
    <w:rPr>
      <w:rFonts w:ascii="Montserrat" w:hAnsi="Montserrat" w:eastAsia="Montserrat" w:cs="Montserra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2020-08-28T16:18:28Z</dcterms:created>
  <dcterms:modified xsi:type="dcterms:W3CDTF">2020-08-28T16:18:28Z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Adobe Acrobat Pro 10.1.16</vt:lpwstr>
  </property>
  <property fmtid="{D5CDD505-2E9C-101B-9397-08002B2CF9AE}" pid="4" name="LastSaved">
    <vt:filetime>2020-08-28T00:00:00Z</vt:filetime>
  </property>
</Properties>
</file>