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0F54" w14:textId="77777777" w:rsidR="004432F8" w:rsidRPr="00DF032C" w:rsidRDefault="004432F8" w:rsidP="004432F8">
      <w:pPr>
        <w:jc w:val="center"/>
        <w:rPr>
          <w:rFonts w:ascii="Montserrat" w:hAnsi="Montserrat"/>
          <w:b/>
          <w:sz w:val="22"/>
          <w:szCs w:val="22"/>
        </w:rPr>
      </w:pPr>
    </w:p>
    <w:p w14:paraId="0B59030C" w14:textId="0F9826BE" w:rsidR="004432F8" w:rsidRPr="00DF032C" w:rsidRDefault="004432F8" w:rsidP="004432F8">
      <w:pPr>
        <w:jc w:val="center"/>
        <w:rPr>
          <w:rFonts w:ascii="Montserrat" w:hAnsi="Montserrat"/>
          <w:b/>
          <w:sz w:val="22"/>
          <w:szCs w:val="22"/>
        </w:rPr>
      </w:pPr>
      <w:r w:rsidRPr="00DF032C">
        <w:rPr>
          <w:rFonts w:ascii="Montserrat" w:hAnsi="Montserrat"/>
          <w:b/>
          <w:sz w:val="22"/>
          <w:szCs w:val="22"/>
        </w:rPr>
        <w:t>Freedom of Information Act (FOIA) Fee Schedule</w:t>
      </w:r>
    </w:p>
    <w:p w14:paraId="7639C0D2" w14:textId="77777777" w:rsidR="004432F8" w:rsidRPr="00DF032C" w:rsidRDefault="004432F8" w:rsidP="004432F8">
      <w:pPr>
        <w:rPr>
          <w:rFonts w:ascii="Montserrat" w:hAnsi="Montserrat"/>
          <w:sz w:val="22"/>
          <w:szCs w:val="22"/>
        </w:rPr>
      </w:pPr>
    </w:p>
    <w:p w14:paraId="45715C59" w14:textId="335AF757" w:rsidR="004432F8" w:rsidRPr="00DF032C" w:rsidRDefault="00C00DF4" w:rsidP="004432F8">
      <w:pPr>
        <w:rPr>
          <w:rFonts w:ascii="Montserrat" w:hAnsi="Montserrat"/>
          <w:sz w:val="22"/>
          <w:szCs w:val="22"/>
        </w:rPr>
      </w:pPr>
      <w:r w:rsidRPr="00C00DF4">
        <w:rPr>
          <w:rFonts w:ascii="Montserrat" w:eastAsia="Times New Roman" w:hAnsi="Montserrat"/>
          <w:sz w:val="22"/>
          <w:szCs w:val="22"/>
        </w:rPr>
        <w:t xml:space="preserve">There is no fee to submit a FOIA request. However, </w:t>
      </w:r>
      <w:r w:rsidR="000F6A71">
        <w:rPr>
          <w:rFonts w:ascii="Montserrat" w:eastAsia="Times New Roman" w:hAnsi="Montserrat"/>
          <w:sz w:val="22"/>
          <w:szCs w:val="22"/>
        </w:rPr>
        <w:t xml:space="preserve">DC PCSB </w:t>
      </w:r>
      <w:r w:rsidR="00D100D9" w:rsidRPr="00D100D9">
        <w:rPr>
          <w:rFonts w:ascii="Montserrat" w:eastAsia="Times New Roman" w:hAnsi="Montserrat"/>
          <w:sz w:val="22"/>
          <w:szCs w:val="22"/>
        </w:rPr>
        <w:t>may charge fees for searching, reviewing, and</w:t>
      </w:r>
      <w:r w:rsidR="007B572F">
        <w:rPr>
          <w:rFonts w:ascii="Montserrat" w:eastAsia="Times New Roman" w:hAnsi="Montserrat"/>
          <w:sz w:val="22"/>
          <w:szCs w:val="22"/>
        </w:rPr>
        <w:t>/or</w:t>
      </w:r>
      <w:r w:rsidR="00D100D9" w:rsidRPr="00D100D9">
        <w:rPr>
          <w:rFonts w:ascii="Montserrat" w:eastAsia="Times New Roman" w:hAnsi="Montserrat"/>
          <w:sz w:val="22"/>
          <w:szCs w:val="22"/>
        </w:rPr>
        <w:t xml:space="preserve"> reproducing </w:t>
      </w:r>
      <w:r w:rsidR="00D100D9">
        <w:rPr>
          <w:rFonts w:ascii="Montserrat" w:eastAsia="Times New Roman" w:hAnsi="Montserrat"/>
          <w:sz w:val="22"/>
          <w:szCs w:val="22"/>
        </w:rPr>
        <w:t xml:space="preserve">(duplicating) </w:t>
      </w:r>
      <w:r w:rsidR="00D100D9" w:rsidRPr="00D100D9">
        <w:rPr>
          <w:rFonts w:ascii="Montserrat" w:eastAsia="Times New Roman" w:hAnsi="Montserrat"/>
          <w:sz w:val="22"/>
          <w:szCs w:val="22"/>
        </w:rPr>
        <w:t>records</w:t>
      </w:r>
      <w:r w:rsidR="000F6A71" w:rsidRPr="000F6A71">
        <w:rPr>
          <w:rFonts w:ascii="Montserrat" w:eastAsia="Times New Roman" w:hAnsi="Montserrat"/>
          <w:sz w:val="22"/>
          <w:szCs w:val="22"/>
        </w:rPr>
        <w:t xml:space="preserve">. </w:t>
      </w:r>
      <w:r w:rsidR="004432F8" w:rsidRPr="00C00DF4">
        <w:rPr>
          <w:rFonts w:ascii="Montserrat" w:hAnsi="Montserrat"/>
          <w:sz w:val="22"/>
          <w:szCs w:val="22"/>
        </w:rPr>
        <w:t>Upon</w:t>
      </w:r>
      <w:r w:rsidR="004432F8" w:rsidRPr="00DF032C">
        <w:rPr>
          <w:rFonts w:ascii="Montserrat" w:hAnsi="Montserrat"/>
          <w:sz w:val="22"/>
          <w:szCs w:val="22"/>
        </w:rPr>
        <w:t xml:space="preserve"> receipt, </w:t>
      </w:r>
      <w:r w:rsidR="00630B32" w:rsidRPr="00DF032C">
        <w:rPr>
          <w:rFonts w:ascii="Montserrat" w:hAnsi="Montserrat"/>
          <w:sz w:val="22"/>
          <w:szCs w:val="22"/>
        </w:rPr>
        <w:t>all FOIA</w:t>
      </w:r>
      <w:r w:rsidR="004432F8" w:rsidRPr="00DF032C">
        <w:rPr>
          <w:rFonts w:ascii="Montserrat" w:hAnsi="Montserrat"/>
          <w:sz w:val="22"/>
          <w:szCs w:val="22"/>
        </w:rPr>
        <w:t xml:space="preserve"> request</w:t>
      </w:r>
      <w:r w:rsidR="00630B32" w:rsidRPr="00DF032C">
        <w:rPr>
          <w:rFonts w:ascii="Montserrat" w:hAnsi="Montserrat"/>
          <w:sz w:val="22"/>
          <w:szCs w:val="22"/>
        </w:rPr>
        <w:t>s</w:t>
      </w:r>
      <w:r w:rsidR="004432F8" w:rsidRPr="00DF032C">
        <w:rPr>
          <w:rFonts w:ascii="Montserrat" w:hAnsi="Montserrat"/>
          <w:sz w:val="22"/>
          <w:szCs w:val="22"/>
        </w:rPr>
        <w:t xml:space="preserve"> </w:t>
      </w:r>
      <w:r w:rsidR="00630B32" w:rsidRPr="00DF032C">
        <w:rPr>
          <w:rFonts w:ascii="Montserrat" w:hAnsi="Montserrat"/>
          <w:sz w:val="22"/>
          <w:szCs w:val="22"/>
        </w:rPr>
        <w:t>are</w:t>
      </w:r>
      <w:r w:rsidR="004432F8" w:rsidRPr="00DF032C">
        <w:rPr>
          <w:rFonts w:ascii="Montserrat" w:hAnsi="Montserrat"/>
          <w:sz w:val="22"/>
          <w:szCs w:val="22"/>
        </w:rPr>
        <w:t xml:space="preserve"> reviewed to determine how fees will be assessed. Requesters generally fall into one of three categories and fees are assessed accordingly, as indicated in the below chart.</w:t>
      </w:r>
    </w:p>
    <w:p w14:paraId="28F0A6D0" w14:textId="77777777" w:rsidR="004432F8" w:rsidRPr="00DF032C" w:rsidRDefault="004432F8" w:rsidP="004432F8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4432F8" w:rsidRPr="00DF032C" w14:paraId="716DF673" w14:textId="77777777" w:rsidTr="004432F8">
        <w:tc>
          <w:tcPr>
            <w:tcW w:w="2157" w:type="dxa"/>
            <w:shd w:val="clear" w:color="auto" w:fill="EEECE1" w:themeFill="background2"/>
          </w:tcPr>
          <w:p w14:paraId="333C434B" w14:textId="77777777" w:rsidR="004432F8" w:rsidRPr="00DF032C" w:rsidRDefault="004432F8" w:rsidP="003A7C3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F032C">
              <w:rPr>
                <w:rFonts w:ascii="Montserrat" w:hAnsi="Montserrat"/>
                <w:b/>
                <w:sz w:val="22"/>
                <w:szCs w:val="22"/>
              </w:rPr>
              <w:t>Requester Category</w:t>
            </w:r>
          </w:p>
        </w:tc>
        <w:tc>
          <w:tcPr>
            <w:tcW w:w="2158" w:type="dxa"/>
            <w:shd w:val="clear" w:color="auto" w:fill="EEECE1" w:themeFill="background2"/>
          </w:tcPr>
          <w:p w14:paraId="29EE63E6" w14:textId="77777777" w:rsidR="004432F8" w:rsidRPr="00DF032C" w:rsidRDefault="004432F8" w:rsidP="003A7C3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F032C">
              <w:rPr>
                <w:rFonts w:ascii="Montserrat" w:hAnsi="Montserrat"/>
                <w:b/>
                <w:sz w:val="22"/>
                <w:szCs w:val="22"/>
              </w:rPr>
              <w:t>Duplication Cost</w:t>
            </w:r>
          </w:p>
        </w:tc>
        <w:tc>
          <w:tcPr>
            <w:tcW w:w="2157" w:type="dxa"/>
            <w:shd w:val="clear" w:color="auto" w:fill="EEECE1" w:themeFill="background2"/>
          </w:tcPr>
          <w:p w14:paraId="397B2541" w14:textId="77777777" w:rsidR="004432F8" w:rsidRPr="00DF032C" w:rsidRDefault="004432F8" w:rsidP="003A7C3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F032C">
              <w:rPr>
                <w:rFonts w:ascii="Montserrat" w:hAnsi="Montserrat"/>
                <w:b/>
                <w:sz w:val="22"/>
                <w:szCs w:val="22"/>
              </w:rPr>
              <w:t>Search Fees</w:t>
            </w:r>
          </w:p>
        </w:tc>
        <w:tc>
          <w:tcPr>
            <w:tcW w:w="2158" w:type="dxa"/>
            <w:shd w:val="clear" w:color="auto" w:fill="EEECE1" w:themeFill="background2"/>
          </w:tcPr>
          <w:p w14:paraId="4450F904" w14:textId="77777777" w:rsidR="004432F8" w:rsidRPr="00DF032C" w:rsidRDefault="004432F8" w:rsidP="003A7C3E">
            <w:pPr>
              <w:ind w:left="720" w:hanging="720"/>
              <w:rPr>
                <w:rFonts w:ascii="Montserrat" w:hAnsi="Montserrat"/>
                <w:b/>
                <w:sz w:val="22"/>
                <w:szCs w:val="22"/>
              </w:rPr>
            </w:pPr>
            <w:r w:rsidRPr="00DF032C">
              <w:rPr>
                <w:rFonts w:ascii="Montserrat" w:hAnsi="Montserrat"/>
                <w:b/>
                <w:sz w:val="22"/>
                <w:szCs w:val="22"/>
              </w:rPr>
              <w:t>Review Fees</w:t>
            </w:r>
          </w:p>
        </w:tc>
      </w:tr>
      <w:tr w:rsidR="004432F8" w:rsidRPr="00DF032C" w14:paraId="7B78CBF4" w14:textId="77777777" w:rsidTr="004432F8">
        <w:tc>
          <w:tcPr>
            <w:tcW w:w="2157" w:type="dxa"/>
          </w:tcPr>
          <w:p w14:paraId="22949E7A" w14:textId="29FC3FB3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 xml:space="preserve">Commercial </w:t>
            </w:r>
          </w:p>
        </w:tc>
        <w:tc>
          <w:tcPr>
            <w:tcW w:w="2158" w:type="dxa"/>
          </w:tcPr>
          <w:p w14:paraId="3A907C2C" w14:textId="534403E5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$0.25 per printed page; $1.00 for certification of true copies of agency records</w:t>
            </w:r>
          </w:p>
        </w:tc>
        <w:tc>
          <w:tcPr>
            <w:tcW w:w="2157" w:type="dxa"/>
          </w:tcPr>
          <w:p w14:paraId="53F87342" w14:textId="53BD7138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 xml:space="preserve">$4.00 per quarter hour, after </w:t>
            </w:r>
            <w:r w:rsidR="00630B32" w:rsidRPr="00DF032C">
              <w:rPr>
                <w:rFonts w:ascii="Montserrat" w:hAnsi="Montserrat"/>
                <w:sz w:val="22"/>
                <w:szCs w:val="22"/>
              </w:rPr>
              <w:t xml:space="preserve">the </w:t>
            </w:r>
            <w:r w:rsidRPr="00DF032C">
              <w:rPr>
                <w:rFonts w:ascii="Montserrat" w:hAnsi="Montserrat"/>
                <w:sz w:val="22"/>
                <w:szCs w:val="22"/>
              </w:rPr>
              <w:t>1st hour, by clerical personnel; $7.00 per quarter hour after the 1st hour, by professional personnel; $10.00 per quarter hour after the 1st hour, by supervisory personnel</w:t>
            </w:r>
          </w:p>
        </w:tc>
        <w:tc>
          <w:tcPr>
            <w:tcW w:w="2158" w:type="dxa"/>
          </w:tcPr>
          <w:p w14:paraId="7D6A8B8E" w14:textId="058BABD8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 xml:space="preserve">$4.00 per quarter hour, after </w:t>
            </w:r>
            <w:r w:rsidR="00630B32" w:rsidRPr="00DF032C">
              <w:rPr>
                <w:rFonts w:ascii="Montserrat" w:hAnsi="Montserrat"/>
                <w:sz w:val="22"/>
                <w:szCs w:val="22"/>
              </w:rPr>
              <w:t xml:space="preserve">the </w:t>
            </w:r>
            <w:r w:rsidRPr="00DF032C">
              <w:rPr>
                <w:rFonts w:ascii="Montserrat" w:hAnsi="Montserrat"/>
                <w:sz w:val="22"/>
                <w:szCs w:val="22"/>
              </w:rPr>
              <w:t>1st hour, by clerical personnel; $7.00 per quarter hour after the 1st hour, by professional personnel; $10.00 per quarter hour after the 1st hour, by supervisory personnel</w:t>
            </w:r>
          </w:p>
        </w:tc>
      </w:tr>
      <w:tr w:rsidR="004432F8" w:rsidRPr="00DF032C" w14:paraId="4C566E80" w14:textId="77777777" w:rsidTr="004432F8">
        <w:tc>
          <w:tcPr>
            <w:tcW w:w="2157" w:type="dxa"/>
          </w:tcPr>
          <w:p w14:paraId="0CDE0ECA" w14:textId="77777777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Educational/</w:t>
            </w:r>
          </w:p>
          <w:p w14:paraId="3D390573" w14:textId="77777777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Media/Scientific</w:t>
            </w:r>
          </w:p>
          <w:p w14:paraId="64355C21" w14:textId="4D247FFB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1C4E01" w14:textId="3F4A5E38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$0.25 per printed page; $1.00 for certification of true copies of agency records</w:t>
            </w:r>
          </w:p>
        </w:tc>
        <w:tc>
          <w:tcPr>
            <w:tcW w:w="2157" w:type="dxa"/>
          </w:tcPr>
          <w:p w14:paraId="4EE96B68" w14:textId="77777777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No fee</w:t>
            </w:r>
          </w:p>
        </w:tc>
        <w:tc>
          <w:tcPr>
            <w:tcW w:w="2158" w:type="dxa"/>
          </w:tcPr>
          <w:p w14:paraId="6BCA561C" w14:textId="77777777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No fee</w:t>
            </w:r>
          </w:p>
        </w:tc>
      </w:tr>
      <w:tr w:rsidR="004432F8" w:rsidRPr="00DF032C" w14:paraId="406DA3F5" w14:textId="77777777" w:rsidTr="004432F8">
        <w:tc>
          <w:tcPr>
            <w:tcW w:w="2157" w:type="dxa"/>
          </w:tcPr>
          <w:p w14:paraId="2ADA07EE" w14:textId="2A877766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All Others (private individuals, etc.)</w:t>
            </w:r>
          </w:p>
        </w:tc>
        <w:tc>
          <w:tcPr>
            <w:tcW w:w="2158" w:type="dxa"/>
          </w:tcPr>
          <w:p w14:paraId="096F10BA" w14:textId="230D58B9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$0.25 per printed page; $1.00 for certification of true copies of agency records</w:t>
            </w:r>
          </w:p>
        </w:tc>
        <w:tc>
          <w:tcPr>
            <w:tcW w:w="2157" w:type="dxa"/>
          </w:tcPr>
          <w:p w14:paraId="04E16C31" w14:textId="141DA860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 xml:space="preserve">$4.00 per quarter hour, after </w:t>
            </w:r>
            <w:r w:rsidR="00630B32" w:rsidRPr="00DF032C">
              <w:rPr>
                <w:rFonts w:ascii="Montserrat" w:hAnsi="Montserrat"/>
                <w:sz w:val="22"/>
                <w:szCs w:val="22"/>
              </w:rPr>
              <w:t xml:space="preserve">the </w:t>
            </w:r>
            <w:r w:rsidRPr="00DF032C">
              <w:rPr>
                <w:rFonts w:ascii="Montserrat" w:hAnsi="Montserrat"/>
                <w:sz w:val="22"/>
                <w:szCs w:val="22"/>
              </w:rPr>
              <w:t>1st hour, by clerical personnel; $7.00 per quarter hour after the 1st hour, by professional personnel; $10.00 per quarter hour after the</w:t>
            </w:r>
            <w:r w:rsidR="00630B32" w:rsidRPr="00DF032C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DF032C">
              <w:rPr>
                <w:rFonts w:ascii="Montserrat" w:hAnsi="Montserrat"/>
                <w:sz w:val="22"/>
                <w:szCs w:val="22"/>
              </w:rPr>
              <w:t>1st hour, by supervisory personnel</w:t>
            </w:r>
          </w:p>
        </w:tc>
        <w:tc>
          <w:tcPr>
            <w:tcW w:w="2158" w:type="dxa"/>
          </w:tcPr>
          <w:p w14:paraId="57004541" w14:textId="77777777" w:rsidR="004432F8" w:rsidRPr="00DF032C" w:rsidRDefault="004432F8" w:rsidP="003A7C3E">
            <w:pPr>
              <w:rPr>
                <w:rFonts w:ascii="Montserrat" w:hAnsi="Montserrat"/>
                <w:sz w:val="22"/>
                <w:szCs w:val="22"/>
              </w:rPr>
            </w:pPr>
            <w:r w:rsidRPr="00DF032C">
              <w:rPr>
                <w:rFonts w:ascii="Montserrat" w:hAnsi="Montserrat"/>
                <w:sz w:val="22"/>
                <w:szCs w:val="22"/>
              </w:rPr>
              <w:t>No fee</w:t>
            </w:r>
          </w:p>
        </w:tc>
      </w:tr>
    </w:tbl>
    <w:p w14:paraId="4937C392" w14:textId="77777777" w:rsidR="004432F8" w:rsidRPr="00DF032C" w:rsidRDefault="004432F8" w:rsidP="004432F8">
      <w:pPr>
        <w:rPr>
          <w:rFonts w:ascii="Montserrat" w:hAnsi="Montserrat"/>
          <w:sz w:val="22"/>
          <w:szCs w:val="22"/>
        </w:rPr>
      </w:pPr>
    </w:p>
    <w:p w14:paraId="0FB84492" w14:textId="77777777" w:rsidR="007D3813" w:rsidRPr="00DF032C" w:rsidRDefault="007D3813" w:rsidP="004432F8">
      <w:pPr>
        <w:rPr>
          <w:rFonts w:ascii="Montserrat" w:hAnsi="Montserrat"/>
          <w:sz w:val="22"/>
          <w:szCs w:val="22"/>
        </w:rPr>
      </w:pPr>
    </w:p>
    <w:p w14:paraId="290ED3CE" w14:textId="38E04B5F" w:rsidR="007D3813" w:rsidRPr="007B572F" w:rsidRDefault="004432F8" w:rsidP="004432F8">
      <w:pPr>
        <w:rPr>
          <w:rFonts w:ascii="Montserrat" w:hAnsi="Montserrat"/>
          <w:b/>
          <w:bCs/>
          <w:sz w:val="22"/>
          <w:szCs w:val="22"/>
        </w:rPr>
      </w:pPr>
      <w:r w:rsidRPr="007B572F">
        <w:rPr>
          <w:rFonts w:ascii="Montserrat" w:hAnsi="Montserrat"/>
          <w:b/>
          <w:bCs/>
          <w:sz w:val="22"/>
          <w:szCs w:val="22"/>
        </w:rPr>
        <w:t>For all requesters</w:t>
      </w:r>
      <w:r w:rsidR="007D3813" w:rsidRPr="007B572F">
        <w:rPr>
          <w:rFonts w:ascii="Montserrat" w:hAnsi="Montserrat"/>
          <w:b/>
          <w:bCs/>
          <w:sz w:val="22"/>
          <w:szCs w:val="22"/>
        </w:rPr>
        <w:t>:</w:t>
      </w:r>
    </w:p>
    <w:p w14:paraId="27922636" w14:textId="77777777" w:rsidR="002B0AA6" w:rsidRPr="00DF032C" w:rsidRDefault="007D3813" w:rsidP="007D3813">
      <w:pPr>
        <w:pStyle w:val="ListParagraph"/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DF032C">
        <w:rPr>
          <w:rFonts w:ascii="Montserrat" w:hAnsi="Montserrat"/>
          <w:sz w:val="22"/>
          <w:szCs w:val="22"/>
        </w:rPr>
        <w:lastRenderedPageBreak/>
        <w:t>I</w:t>
      </w:r>
      <w:r w:rsidR="004432F8" w:rsidRPr="00DF032C">
        <w:rPr>
          <w:rFonts w:ascii="Montserrat" w:hAnsi="Montserrat"/>
          <w:sz w:val="22"/>
          <w:szCs w:val="22"/>
        </w:rPr>
        <w:t xml:space="preserve">f the total fee for your request is less than $5, you will not be charged. </w:t>
      </w:r>
    </w:p>
    <w:p w14:paraId="5F3C7DF3" w14:textId="29DE792A" w:rsidR="002B0AA6" w:rsidRPr="00DF032C" w:rsidRDefault="004432F8" w:rsidP="007D3813">
      <w:pPr>
        <w:pStyle w:val="ListParagraph"/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DF032C">
        <w:rPr>
          <w:rFonts w:ascii="Montserrat" w:hAnsi="Montserrat"/>
          <w:sz w:val="22"/>
          <w:szCs w:val="22"/>
        </w:rPr>
        <w:t xml:space="preserve">You will be notified if your fees exceed $25 or any other amount </w:t>
      </w:r>
      <w:r w:rsidR="00D100D9">
        <w:rPr>
          <w:rFonts w:ascii="Montserrat" w:hAnsi="Montserrat"/>
          <w:sz w:val="22"/>
          <w:szCs w:val="22"/>
        </w:rPr>
        <w:t xml:space="preserve">that you </w:t>
      </w:r>
      <w:r w:rsidRPr="00DF032C">
        <w:rPr>
          <w:rFonts w:ascii="Montserrat" w:hAnsi="Montserrat"/>
          <w:sz w:val="22"/>
          <w:szCs w:val="22"/>
        </w:rPr>
        <w:t>specif</w:t>
      </w:r>
      <w:r w:rsidR="00D100D9">
        <w:rPr>
          <w:rFonts w:ascii="Montserrat" w:hAnsi="Montserrat"/>
          <w:sz w:val="22"/>
          <w:szCs w:val="22"/>
        </w:rPr>
        <w:t>y</w:t>
      </w:r>
      <w:r w:rsidRPr="00DF032C">
        <w:rPr>
          <w:rFonts w:ascii="Montserrat" w:hAnsi="Montserrat"/>
          <w:sz w:val="22"/>
          <w:szCs w:val="22"/>
        </w:rPr>
        <w:t xml:space="preserve"> in your request. </w:t>
      </w:r>
    </w:p>
    <w:p w14:paraId="7B56A282" w14:textId="55A29BB9" w:rsidR="004432F8" w:rsidRDefault="004432F8" w:rsidP="007D3813">
      <w:pPr>
        <w:pStyle w:val="ListParagraph"/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DF032C">
        <w:rPr>
          <w:rFonts w:ascii="Montserrat" w:hAnsi="Montserrat"/>
          <w:sz w:val="22"/>
          <w:szCs w:val="22"/>
        </w:rPr>
        <w:t xml:space="preserve">If DC PCSB determines that the fees will exceed $250, DC PCSB will </w:t>
      </w:r>
      <w:r w:rsidR="00966251">
        <w:rPr>
          <w:rFonts w:ascii="Montserrat" w:hAnsi="Montserrat"/>
          <w:sz w:val="22"/>
          <w:szCs w:val="22"/>
        </w:rPr>
        <w:t>require</w:t>
      </w:r>
      <w:r w:rsidRPr="00DF032C">
        <w:rPr>
          <w:rFonts w:ascii="Montserrat" w:hAnsi="Montserrat"/>
          <w:sz w:val="22"/>
          <w:szCs w:val="22"/>
        </w:rPr>
        <w:t xml:space="preserve"> payment in advance.</w:t>
      </w:r>
    </w:p>
    <w:p w14:paraId="48BECB57" w14:textId="6BCB783B" w:rsidR="00C00DF4" w:rsidRPr="00DF032C" w:rsidRDefault="00C00DF4" w:rsidP="007D3813">
      <w:pPr>
        <w:pStyle w:val="ListParagraph"/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DC PCSB may </w:t>
      </w:r>
      <w:r w:rsidR="00966251">
        <w:rPr>
          <w:rFonts w:ascii="Montserrat" w:hAnsi="Montserrat"/>
          <w:sz w:val="22"/>
          <w:szCs w:val="22"/>
        </w:rPr>
        <w:t>require</w:t>
      </w:r>
      <w:r>
        <w:rPr>
          <w:rFonts w:ascii="Montserrat" w:hAnsi="Montserrat"/>
          <w:sz w:val="22"/>
          <w:szCs w:val="22"/>
        </w:rPr>
        <w:t xml:space="preserve"> payment in advance </w:t>
      </w:r>
      <w:r w:rsidRPr="00C00DF4">
        <w:rPr>
          <w:rFonts w:ascii="Montserrat" w:hAnsi="Montserrat"/>
          <w:sz w:val="22"/>
          <w:szCs w:val="22"/>
        </w:rPr>
        <w:t>if the requester has been delinquent with fee payment for previous FOIA requests</w:t>
      </w:r>
      <w:r>
        <w:rPr>
          <w:rFonts w:ascii="Montserrat" w:hAnsi="Montserrat"/>
          <w:sz w:val="22"/>
          <w:szCs w:val="22"/>
        </w:rPr>
        <w:t>.</w:t>
      </w:r>
    </w:p>
    <w:p w14:paraId="45A559B3" w14:textId="77777777" w:rsidR="004432F8" w:rsidRPr="00DF032C" w:rsidRDefault="004432F8" w:rsidP="004432F8">
      <w:pPr>
        <w:tabs>
          <w:tab w:val="left" w:pos="3435"/>
        </w:tabs>
        <w:rPr>
          <w:rFonts w:ascii="Montserrat" w:hAnsi="Montserrat"/>
          <w:sz w:val="22"/>
          <w:szCs w:val="22"/>
        </w:rPr>
      </w:pPr>
    </w:p>
    <w:p w14:paraId="736F0742" w14:textId="305C17EF" w:rsidR="004432F8" w:rsidRDefault="004432F8" w:rsidP="004432F8">
      <w:pPr>
        <w:rPr>
          <w:rFonts w:ascii="Montserrat" w:hAnsi="Montserrat"/>
          <w:sz w:val="22"/>
          <w:szCs w:val="22"/>
        </w:rPr>
      </w:pPr>
      <w:r w:rsidRPr="00DF032C">
        <w:rPr>
          <w:rFonts w:ascii="Montserrat" w:hAnsi="Montserrat"/>
          <w:sz w:val="22"/>
          <w:szCs w:val="22"/>
        </w:rPr>
        <w:t xml:space="preserve">If you expect that a fee will be charged, you may request a fee waiver. </w:t>
      </w:r>
      <w:r w:rsidR="00416DE5">
        <w:rPr>
          <w:rFonts w:ascii="Montserrat" w:hAnsi="Montserrat"/>
          <w:sz w:val="22"/>
          <w:szCs w:val="22"/>
        </w:rPr>
        <w:t xml:space="preserve">The waiver request must include a statement </w:t>
      </w:r>
      <w:proofErr w:type="spellStart"/>
      <w:r w:rsidR="00416DE5">
        <w:rPr>
          <w:rFonts w:ascii="Montserrat" w:hAnsi="Montserrat"/>
          <w:sz w:val="22"/>
          <w:szCs w:val="22"/>
        </w:rPr>
        <w:t>describring</w:t>
      </w:r>
      <w:proofErr w:type="spellEnd"/>
      <w:r w:rsidR="00416DE5">
        <w:rPr>
          <w:rFonts w:ascii="Montserrat" w:hAnsi="Montserrat"/>
          <w:sz w:val="22"/>
          <w:szCs w:val="22"/>
        </w:rPr>
        <w:t xml:space="preserve"> </w:t>
      </w:r>
      <w:r w:rsidR="00416DE5">
        <w:rPr>
          <w:rFonts w:ascii="Montserrat" w:hAnsi="Montserrat"/>
          <w:sz w:val="22"/>
          <w:szCs w:val="22"/>
        </w:rPr>
        <w:t xml:space="preserve">how the record(s) will be used to benefit the </w:t>
      </w:r>
      <w:proofErr w:type="gramStart"/>
      <w:r w:rsidR="00416DE5">
        <w:rPr>
          <w:rFonts w:ascii="Montserrat" w:hAnsi="Montserrat"/>
          <w:sz w:val="22"/>
          <w:szCs w:val="22"/>
        </w:rPr>
        <w:t>general public</w:t>
      </w:r>
      <w:proofErr w:type="gramEnd"/>
      <w:r w:rsidR="00416DE5" w:rsidRPr="00217ADD">
        <w:rPr>
          <w:rFonts w:ascii="Montserrat" w:hAnsi="Montserrat"/>
          <w:sz w:val="22"/>
          <w:szCs w:val="22"/>
        </w:rPr>
        <w:t>.</w:t>
      </w:r>
      <w:r w:rsidR="00416DE5">
        <w:rPr>
          <w:rFonts w:ascii="Montserrat" w:hAnsi="Montserrat"/>
          <w:sz w:val="22"/>
          <w:szCs w:val="22"/>
        </w:rPr>
        <w:t xml:space="preserve"> </w:t>
      </w:r>
      <w:proofErr w:type="gramStart"/>
      <w:r w:rsidRPr="00DF032C">
        <w:rPr>
          <w:rFonts w:ascii="Montserrat" w:hAnsi="Montserrat"/>
          <w:sz w:val="22"/>
          <w:szCs w:val="22"/>
        </w:rPr>
        <w:t>DC</w:t>
      </w:r>
      <w:proofErr w:type="gramEnd"/>
      <w:r w:rsidRPr="00DF032C">
        <w:rPr>
          <w:rFonts w:ascii="Montserrat" w:hAnsi="Montserrat"/>
          <w:sz w:val="22"/>
          <w:szCs w:val="22"/>
        </w:rPr>
        <w:t xml:space="preserve"> PCSB’s FOIA Officer has sole authority to grant or deny fee waivers.</w:t>
      </w:r>
      <w:r w:rsidR="00217ADD" w:rsidRPr="00217ADD">
        <w:t xml:space="preserve"> </w:t>
      </w:r>
      <w:r w:rsidR="00217ADD" w:rsidRPr="00217ADD">
        <w:rPr>
          <w:rFonts w:ascii="Montserrat" w:hAnsi="Montserrat"/>
          <w:sz w:val="22"/>
          <w:szCs w:val="22"/>
        </w:rPr>
        <w:t xml:space="preserve">When </w:t>
      </w:r>
      <w:r w:rsidR="00217ADD">
        <w:rPr>
          <w:rFonts w:ascii="Montserrat" w:hAnsi="Montserrat"/>
          <w:sz w:val="22"/>
          <w:szCs w:val="22"/>
        </w:rPr>
        <w:t>requesting</w:t>
      </w:r>
      <w:r w:rsidR="00217ADD" w:rsidRPr="00217ADD">
        <w:rPr>
          <w:rFonts w:ascii="Montserrat" w:hAnsi="Montserrat"/>
          <w:sz w:val="22"/>
          <w:szCs w:val="22"/>
        </w:rPr>
        <w:t xml:space="preserve"> a fee waiver, </w:t>
      </w:r>
      <w:r w:rsidR="00217ADD">
        <w:rPr>
          <w:rFonts w:ascii="Montserrat" w:hAnsi="Montserrat"/>
          <w:sz w:val="22"/>
          <w:szCs w:val="22"/>
        </w:rPr>
        <w:t>you</w:t>
      </w:r>
      <w:r w:rsidR="00217ADD" w:rsidRPr="00217ADD">
        <w:rPr>
          <w:rFonts w:ascii="Montserrat" w:hAnsi="Montserrat"/>
          <w:sz w:val="22"/>
          <w:szCs w:val="22"/>
        </w:rPr>
        <w:t xml:space="preserve"> must provide sufficient information for </w:t>
      </w:r>
      <w:r w:rsidR="00217ADD">
        <w:rPr>
          <w:rFonts w:ascii="Montserrat" w:hAnsi="Montserrat"/>
          <w:sz w:val="22"/>
          <w:szCs w:val="22"/>
        </w:rPr>
        <w:t>the FOIA Officer</w:t>
      </w:r>
      <w:r w:rsidR="00217ADD" w:rsidRPr="00217ADD">
        <w:rPr>
          <w:rFonts w:ascii="Montserrat" w:hAnsi="Montserrat"/>
          <w:sz w:val="22"/>
          <w:szCs w:val="22"/>
        </w:rPr>
        <w:t xml:space="preserve"> to be able to </w:t>
      </w:r>
      <w:proofErr w:type="gramStart"/>
      <w:r w:rsidR="00217ADD" w:rsidRPr="00217ADD">
        <w:rPr>
          <w:rFonts w:ascii="Montserrat" w:hAnsi="Montserrat"/>
          <w:sz w:val="22"/>
          <w:szCs w:val="22"/>
        </w:rPr>
        <w:t>make a determination</w:t>
      </w:r>
      <w:proofErr w:type="gramEnd"/>
      <w:r w:rsidR="00217ADD" w:rsidRPr="00217ADD">
        <w:rPr>
          <w:rFonts w:ascii="Montserrat" w:hAnsi="Montserrat"/>
          <w:sz w:val="22"/>
          <w:szCs w:val="22"/>
        </w:rPr>
        <w:t>.</w:t>
      </w:r>
    </w:p>
    <w:p w14:paraId="52EA8138" w14:textId="096C2946" w:rsidR="00C00DF4" w:rsidRDefault="00C00DF4" w:rsidP="004432F8">
      <w:pPr>
        <w:rPr>
          <w:rFonts w:ascii="Montserrat" w:hAnsi="Montserrat"/>
          <w:sz w:val="22"/>
          <w:szCs w:val="22"/>
        </w:rPr>
      </w:pPr>
    </w:p>
    <w:p w14:paraId="15781370" w14:textId="642013E0" w:rsidR="00C00DF4" w:rsidRPr="00C00DF4" w:rsidRDefault="00C00DF4" w:rsidP="004432F8">
      <w:pPr>
        <w:rPr>
          <w:rFonts w:ascii="Montserrat" w:eastAsia="Times New Roman" w:hAnsi="Montserrat"/>
          <w:sz w:val="22"/>
          <w:szCs w:val="22"/>
        </w:rPr>
      </w:pPr>
      <w:r w:rsidRPr="00C00DF4">
        <w:rPr>
          <w:rFonts w:ascii="Montserrat" w:eastAsia="Times New Roman" w:hAnsi="Montserrat"/>
          <w:sz w:val="22"/>
          <w:szCs w:val="22"/>
        </w:rPr>
        <w:t>Please be aware that you may have to pay search and/or review fees even if the search does not locate any responsive records or if records are located but are withheld as exempt.</w:t>
      </w:r>
    </w:p>
    <w:p w14:paraId="05766A03" w14:textId="77777777" w:rsidR="004432F8" w:rsidRPr="00DF032C" w:rsidRDefault="004432F8" w:rsidP="004432F8">
      <w:pPr>
        <w:rPr>
          <w:rFonts w:ascii="Montserrat" w:hAnsi="Montserrat"/>
          <w:sz w:val="22"/>
          <w:szCs w:val="22"/>
        </w:rPr>
      </w:pPr>
    </w:p>
    <w:p w14:paraId="5DDB3E98" w14:textId="4ECF2A33" w:rsidR="0037018D" w:rsidRPr="00DF032C" w:rsidRDefault="004432F8">
      <w:pPr>
        <w:rPr>
          <w:rFonts w:ascii="Montserrat" w:hAnsi="Montserrat"/>
          <w:sz w:val="22"/>
          <w:szCs w:val="22"/>
        </w:rPr>
      </w:pPr>
      <w:r w:rsidRPr="00DF032C">
        <w:rPr>
          <w:rFonts w:ascii="Montserrat" w:hAnsi="Montserrat"/>
          <w:sz w:val="22"/>
          <w:szCs w:val="22"/>
        </w:rPr>
        <w:t xml:space="preserve">For more information, see </w:t>
      </w:r>
      <w:hyperlink r:id="rId8" w:history="1">
        <w:r w:rsidRPr="00DF032C">
          <w:rPr>
            <w:rStyle w:val="Hyperlink"/>
            <w:rFonts w:ascii="Montserrat" w:hAnsi="Montserrat"/>
            <w:sz w:val="22"/>
            <w:szCs w:val="22"/>
          </w:rPr>
          <w:t>D.C. Code</w:t>
        </w:r>
        <w:r w:rsidRPr="00DF032C">
          <w:rPr>
            <w:rStyle w:val="Hyperlink"/>
            <w:rFonts w:ascii="Montserrat" w:hAnsi="Montserrat"/>
            <w:sz w:val="22"/>
            <w:szCs w:val="22"/>
          </w:rPr>
          <w:t xml:space="preserve"> </w:t>
        </w:r>
        <w:r w:rsidRPr="00DF032C">
          <w:rPr>
            <w:rStyle w:val="Hyperlink"/>
            <w:rFonts w:ascii="Montserrat" w:hAnsi="Montserrat"/>
            <w:sz w:val="22"/>
            <w:szCs w:val="22"/>
          </w:rPr>
          <w:t>§ 2–532</w:t>
        </w:r>
      </w:hyperlink>
      <w:r w:rsidRPr="00DF032C">
        <w:rPr>
          <w:rFonts w:ascii="Montserrat" w:hAnsi="Montserrat"/>
          <w:sz w:val="22"/>
          <w:szCs w:val="22"/>
        </w:rPr>
        <w:t xml:space="preserve"> and </w:t>
      </w:r>
      <w:hyperlink r:id="rId9" w:history="1">
        <w:r w:rsidR="008F38E3" w:rsidRPr="008F38E3">
          <w:rPr>
            <w:rStyle w:val="Hyperlink"/>
            <w:rFonts w:ascii="Montserrat" w:hAnsi="Montserrat"/>
            <w:sz w:val="22"/>
            <w:szCs w:val="22"/>
          </w:rPr>
          <w:t xml:space="preserve">1 </w:t>
        </w:r>
        <w:r w:rsidRPr="008F38E3">
          <w:rPr>
            <w:rStyle w:val="Hyperlink"/>
            <w:rFonts w:ascii="Montserrat" w:hAnsi="Montserrat"/>
            <w:sz w:val="22"/>
            <w:szCs w:val="22"/>
          </w:rPr>
          <w:t>DCM</w:t>
        </w:r>
        <w:r w:rsidRPr="008F38E3">
          <w:rPr>
            <w:rStyle w:val="Hyperlink"/>
            <w:rFonts w:ascii="Montserrat" w:hAnsi="Montserrat"/>
            <w:sz w:val="22"/>
            <w:szCs w:val="22"/>
          </w:rPr>
          <w:t>R</w:t>
        </w:r>
        <w:r w:rsidRPr="008F38E3">
          <w:rPr>
            <w:rStyle w:val="Hyperlink"/>
            <w:rFonts w:ascii="Montserrat" w:hAnsi="Montserrat"/>
            <w:sz w:val="22"/>
            <w:szCs w:val="22"/>
          </w:rPr>
          <w:t xml:space="preserve"> §</w:t>
        </w:r>
        <w:r w:rsidRPr="008F38E3">
          <w:rPr>
            <w:rStyle w:val="Hyperlink"/>
            <w:rFonts w:ascii="Montserrat" w:hAnsi="Montserrat"/>
            <w:sz w:val="22"/>
            <w:szCs w:val="22"/>
          </w:rPr>
          <w:t xml:space="preserve"> </w:t>
        </w:r>
        <w:r w:rsidRPr="008F38E3">
          <w:rPr>
            <w:rStyle w:val="Hyperlink"/>
            <w:rFonts w:ascii="Montserrat" w:hAnsi="Montserrat"/>
            <w:sz w:val="22"/>
            <w:szCs w:val="22"/>
          </w:rPr>
          <w:t>408</w:t>
        </w:r>
      </w:hyperlink>
      <w:r w:rsidRPr="00DF032C">
        <w:rPr>
          <w:rFonts w:ascii="Montserrat" w:hAnsi="Montserrat"/>
          <w:sz w:val="22"/>
          <w:szCs w:val="22"/>
        </w:rPr>
        <w:t>.</w:t>
      </w:r>
      <w:r w:rsidR="007B572F">
        <w:rPr>
          <w:rFonts w:ascii="Montserrat" w:hAnsi="Montserrat"/>
          <w:sz w:val="22"/>
          <w:szCs w:val="22"/>
        </w:rPr>
        <w:t xml:space="preserve"> </w:t>
      </w:r>
    </w:p>
    <w:p w14:paraId="3EFD32AC" w14:textId="77777777" w:rsidR="0037018D" w:rsidRPr="00DF032C" w:rsidRDefault="0037018D">
      <w:pPr>
        <w:rPr>
          <w:rFonts w:ascii="Montserrat" w:hAnsi="Montserrat"/>
          <w:sz w:val="22"/>
          <w:szCs w:val="22"/>
        </w:rPr>
      </w:pPr>
    </w:p>
    <w:p w14:paraId="128DD677" w14:textId="77777777" w:rsidR="0037018D" w:rsidRPr="00DF032C" w:rsidRDefault="0037018D">
      <w:pPr>
        <w:rPr>
          <w:rFonts w:ascii="Montserrat" w:hAnsi="Montserrat"/>
          <w:sz w:val="22"/>
          <w:szCs w:val="22"/>
        </w:rPr>
      </w:pPr>
    </w:p>
    <w:p w14:paraId="66694EDF" w14:textId="77777777" w:rsidR="0037018D" w:rsidRPr="00DF032C" w:rsidRDefault="0037018D">
      <w:pPr>
        <w:rPr>
          <w:rFonts w:ascii="Montserrat" w:hAnsi="Montserrat"/>
          <w:sz w:val="22"/>
          <w:szCs w:val="22"/>
        </w:rPr>
      </w:pPr>
    </w:p>
    <w:p w14:paraId="7103B154" w14:textId="77777777" w:rsidR="0037018D" w:rsidRPr="00DF032C" w:rsidRDefault="0037018D">
      <w:pPr>
        <w:rPr>
          <w:rFonts w:ascii="Montserrat" w:eastAsia="Arial Unicode MS" w:hAnsi="Montserrat" w:cs="Arial Unicode MS"/>
          <w:sz w:val="22"/>
          <w:szCs w:val="22"/>
        </w:rPr>
      </w:pPr>
    </w:p>
    <w:p w14:paraId="35B6C812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40262B63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135B4E6F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30DCA728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1C05712A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17D3249D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1A305209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4AC7E32F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71635996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0B70D5B1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02C2A712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009000C2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2F79D431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6FCE31BC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5456F377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26C70FB2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3DB1F5FB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p w14:paraId="6F36819C" w14:textId="77777777" w:rsidR="00076C80" w:rsidRPr="00DF032C" w:rsidRDefault="00076C80">
      <w:pPr>
        <w:rPr>
          <w:rFonts w:ascii="Montserrat" w:eastAsia="Arial Unicode MS" w:hAnsi="Montserrat" w:cs="Arial Unicode MS"/>
          <w:sz w:val="22"/>
          <w:szCs w:val="22"/>
        </w:rPr>
      </w:pPr>
    </w:p>
    <w:sectPr w:rsidR="00076C80" w:rsidRPr="00DF032C" w:rsidSect="009F775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1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5291" w14:textId="77777777" w:rsidR="00123E30" w:rsidRDefault="00123E30" w:rsidP="0057196D">
      <w:r>
        <w:separator/>
      </w:r>
    </w:p>
  </w:endnote>
  <w:endnote w:type="continuationSeparator" w:id="0">
    <w:p w14:paraId="3684970D" w14:textId="77777777" w:rsidR="00123E30" w:rsidRDefault="00123E30" w:rsidP="005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`˘ø/l+5'3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C11E" w14:textId="440A7C6F" w:rsidR="00076C80" w:rsidRPr="00F577B2" w:rsidRDefault="00076C80" w:rsidP="00076C80">
    <w:pPr>
      <w:widowControl w:val="0"/>
      <w:autoSpaceDE w:val="0"/>
      <w:autoSpaceDN w:val="0"/>
      <w:adjustRightInd w:val="0"/>
      <w:rPr>
        <w:rFonts w:ascii="Montserrat" w:hAnsi="Montserrat"/>
        <w:color w:val="706961"/>
        <w:sz w:val="16"/>
        <w:szCs w:val="16"/>
      </w:rPr>
    </w:pPr>
    <w:r w:rsidRPr="00F577B2">
      <w:rPr>
        <w:rFonts w:ascii="Montserrat" w:hAnsi="Montserrat"/>
        <w:color w:val="706961"/>
        <w:sz w:val="16"/>
        <w:szCs w:val="16"/>
      </w:rPr>
      <w:t xml:space="preserve">3333 14th Street, NW, Suite 210, Washington, DC 20010 </w:t>
    </w:r>
    <w:r w:rsidRPr="00F577B2">
      <w:rPr>
        <w:rFonts w:ascii="Montserrat" w:hAnsi="Montserrat" w:cs="`˘ø/l+5'38"/>
        <w:color w:val="706961"/>
        <w:sz w:val="16"/>
        <w:szCs w:val="16"/>
      </w:rPr>
      <w:sym w:font="Webdings" w:char="F03D"/>
    </w:r>
    <w:r w:rsidRPr="00F577B2">
      <w:rPr>
        <w:rFonts w:ascii="Montserrat" w:hAnsi="Montserrat" w:cs="`˘ø/l+5'38"/>
        <w:color w:val="706961"/>
        <w:sz w:val="16"/>
        <w:szCs w:val="16"/>
      </w:rPr>
      <w:t xml:space="preserve"> </w:t>
    </w:r>
    <w:r w:rsidRPr="00F577B2">
      <w:rPr>
        <w:rFonts w:ascii="Montserrat" w:hAnsi="Montserrat"/>
        <w:color w:val="706961"/>
        <w:sz w:val="16"/>
        <w:szCs w:val="16"/>
      </w:rPr>
      <w:t xml:space="preserve">(202) 328-2660 </w:t>
    </w:r>
    <w:r w:rsidRPr="00F577B2">
      <w:rPr>
        <w:rFonts w:ascii="Montserrat" w:hAnsi="Montserrat"/>
        <w:color w:val="706961"/>
        <w:sz w:val="16"/>
        <w:szCs w:val="16"/>
      </w:rPr>
      <w:sym w:font="Webdings" w:char="F03D"/>
    </w:r>
    <w:r w:rsidR="00F577B2" w:rsidRPr="00F577B2">
      <w:rPr>
        <w:rFonts w:ascii="Montserrat" w:hAnsi="Montserrat"/>
        <w:color w:val="706961"/>
        <w:sz w:val="16"/>
        <w:szCs w:val="16"/>
      </w:rPr>
      <w:t xml:space="preserve"> </w:t>
    </w:r>
    <w:r w:rsidRPr="00F577B2">
      <w:rPr>
        <w:rFonts w:ascii="Montserrat" w:hAnsi="Montserrat"/>
        <w:color w:val="706961"/>
        <w:sz w:val="16"/>
        <w:szCs w:val="16"/>
      </w:rPr>
      <w:t>dcpublic@dcpcsb.org</w:t>
    </w:r>
  </w:p>
  <w:p w14:paraId="218195BC" w14:textId="77777777" w:rsidR="00076C80" w:rsidRDefault="00076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608C4" w14:textId="27D45AF3" w:rsidR="009F7750" w:rsidRPr="00F577B2" w:rsidRDefault="009F7750" w:rsidP="006B17D5">
    <w:pPr>
      <w:widowControl w:val="0"/>
      <w:autoSpaceDE w:val="0"/>
      <w:autoSpaceDN w:val="0"/>
      <w:adjustRightInd w:val="0"/>
      <w:rPr>
        <w:rFonts w:ascii="Montserrat" w:hAnsi="Montserrat"/>
        <w:color w:val="706961"/>
        <w:sz w:val="16"/>
        <w:szCs w:val="16"/>
      </w:rPr>
    </w:pPr>
    <w:r w:rsidRPr="00F577B2">
      <w:rPr>
        <w:rFonts w:ascii="Montserrat" w:hAnsi="Montserrat"/>
        <w:color w:val="706961"/>
        <w:sz w:val="16"/>
        <w:szCs w:val="16"/>
      </w:rPr>
      <w:t xml:space="preserve">3333 14th Street, NW, Suite 210, Washington, DC 20010 </w:t>
    </w:r>
    <w:r w:rsidRPr="00F577B2">
      <w:rPr>
        <w:rFonts w:ascii="Montserrat" w:hAnsi="Montserrat" w:cs="`˘ø/l+5'38"/>
        <w:color w:val="706961"/>
        <w:sz w:val="16"/>
        <w:szCs w:val="16"/>
      </w:rPr>
      <w:sym w:font="Webdings" w:char="F03D"/>
    </w:r>
    <w:r w:rsidRPr="00F577B2">
      <w:rPr>
        <w:rFonts w:ascii="Montserrat" w:hAnsi="Montserrat" w:cs="`˘ø/l+5'38"/>
        <w:color w:val="706961"/>
        <w:sz w:val="16"/>
        <w:szCs w:val="16"/>
      </w:rPr>
      <w:t xml:space="preserve"> </w:t>
    </w:r>
    <w:r w:rsidRPr="00F577B2">
      <w:rPr>
        <w:rFonts w:ascii="Montserrat" w:hAnsi="Montserrat"/>
        <w:color w:val="706961"/>
        <w:sz w:val="16"/>
        <w:szCs w:val="16"/>
      </w:rPr>
      <w:t xml:space="preserve">(202) 328-2660 </w:t>
    </w:r>
    <w:r w:rsidRPr="00F577B2">
      <w:rPr>
        <w:rFonts w:ascii="Montserrat" w:hAnsi="Montserrat"/>
        <w:color w:val="706961"/>
        <w:sz w:val="16"/>
        <w:szCs w:val="16"/>
      </w:rPr>
      <w:sym w:font="Webdings" w:char="F03D"/>
    </w:r>
    <w:r w:rsidR="00F577B2">
      <w:rPr>
        <w:rFonts w:ascii="Montserrat" w:hAnsi="Montserrat"/>
        <w:color w:val="706961"/>
        <w:sz w:val="16"/>
        <w:szCs w:val="16"/>
      </w:rPr>
      <w:t xml:space="preserve"> </w:t>
    </w:r>
    <w:r w:rsidR="00076C80" w:rsidRPr="00F577B2">
      <w:rPr>
        <w:rFonts w:ascii="Montserrat" w:hAnsi="Montserrat"/>
        <w:color w:val="706961"/>
        <w:sz w:val="16"/>
        <w:szCs w:val="16"/>
      </w:rPr>
      <w:t>dcpublic</w:t>
    </w:r>
    <w:r w:rsidRPr="00F577B2">
      <w:rPr>
        <w:rFonts w:ascii="Montserrat" w:hAnsi="Montserrat"/>
        <w:color w:val="706961"/>
        <w:sz w:val="16"/>
        <w:szCs w:val="16"/>
      </w:rPr>
      <w:t>@dcpcsb.org</w:t>
    </w:r>
  </w:p>
  <w:p w14:paraId="44BB1F8B" w14:textId="77777777" w:rsidR="009F7750" w:rsidRPr="00656CE0" w:rsidRDefault="009F7750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4BFAB" w14:textId="77777777" w:rsidR="00123E30" w:rsidRDefault="00123E30" w:rsidP="0057196D">
      <w:r>
        <w:separator/>
      </w:r>
    </w:p>
  </w:footnote>
  <w:footnote w:type="continuationSeparator" w:id="0">
    <w:p w14:paraId="04A7B709" w14:textId="77777777" w:rsidR="00123E30" w:rsidRDefault="00123E30" w:rsidP="0057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B6B1B" w14:textId="77777777" w:rsidR="00C03658" w:rsidRDefault="00C03658" w:rsidP="001056C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E8DF07" w14:textId="77777777" w:rsidR="00C03658" w:rsidRDefault="00C03658" w:rsidP="00C036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741C" w14:textId="77777777" w:rsidR="009F7750" w:rsidRPr="00656CE0" w:rsidRDefault="009F7750" w:rsidP="00C03658">
    <w:pPr>
      <w:pStyle w:val="Header"/>
      <w:ind w:right="360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E653" w14:textId="2DF38E2C" w:rsidR="00F266C4" w:rsidRDefault="009F7750" w:rsidP="003A2A73">
    <w:pPr>
      <w:pStyle w:val="Header"/>
      <w:tabs>
        <w:tab w:val="left" w:pos="2860"/>
      </w:tabs>
    </w:pPr>
    <w:r>
      <w:rPr>
        <w:noProof/>
      </w:rPr>
      <w:drawing>
        <wp:inline distT="0" distB="0" distL="0" distR="0" wp14:anchorId="035A6610" wp14:editId="28337D93">
          <wp:extent cx="1143000" cy="113904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54DCAA7" w14:textId="77777777" w:rsidR="009F7750" w:rsidRPr="003A2A73" w:rsidRDefault="009F7750" w:rsidP="003A2A73">
    <w:pPr>
      <w:pStyle w:val="Header"/>
      <w:tabs>
        <w:tab w:val="left" w:pos="2860"/>
      </w:tabs>
      <w:rPr>
        <w:rFonts w:ascii="Avenir Next" w:hAnsi="Avenir Next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371B"/>
    <w:multiLevelType w:val="hybridMultilevel"/>
    <w:tmpl w:val="ABB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498"/>
    <w:multiLevelType w:val="hybridMultilevel"/>
    <w:tmpl w:val="67F6B31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53482905"/>
    <w:multiLevelType w:val="hybridMultilevel"/>
    <w:tmpl w:val="7C44A254"/>
    <w:lvl w:ilvl="0" w:tplc="90581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4167F"/>
    <w:multiLevelType w:val="hybridMultilevel"/>
    <w:tmpl w:val="81FE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30"/>
    <w:rsid w:val="00011A6C"/>
    <w:rsid w:val="00023CE1"/>
    <w:rsid w:val="000321A3"/>
    <w:rsid w:val="00076C80"/>
    <w:rsid w:val="000A5589"/>
    <w:rsid w:val="000B5094"/>
    <w:rsid w:val="000D5168"/>
    <w:rsid w:val="000E0E12"/>
    <w:rsid w:val="000F3F00"/>
    <w:rsid w:val="000F6A71"/>
    <w:rsid w:val="00123E30"/>
    <w:rsid w:val="00135FA0"/>
    <w:rsid w:val="00190ABC"/>
    <w:rsid w:val="001A6044"/>
    <w:rsid w:val="00217ADD"/>
    <w:rsid w:val="00227B0B"/>
    <w:rsid w:val="00282BA7"/>
    <w:rsid w:val="00293E15"/>
    <w:rsid w:val="002B0AA6"/>
    <w:rsid w:val="002D4EBB"/>
    <w:rsid w:val="0032182B"/>
    <w:rsid w:val="0037018D"/>
    <w:rsid w:val="003A2A73"/>
    <w:rsid w:val="00400AA7"/>
    <w:rsid w:val="00402F2F"/>
    <w:rsid w:val="00416DE5"/>
    <w:rsid w:val="004432F8"/>
    <w:rsid w:val="00455FC8"/>
    <w:rsid w:val="0052005A"/>
    <w:rsid w:val="0057196D"/>
    <w:rsid w:val="005B545F"/>
    <w:rsid w:val="00630B32"/>
    <w:rsid w:val="00634209"/>
    <w:rsid w:val="0063678A"/>
    <w:rsid w:val="00656CE0"/>
    <w:rsid w:val="006605D3"/>
    <w:rsid w:val="00660A97"/>
    <w:rsid w:val="006B17D5"/>
    <w:rsid w:val="006C6611"/>
    <w:rsid w:val="006D5C4E"/>
    <w:rsid w:val="006E0775"/>
    <w:rsid w:val="006F0CDB"/>
    <w:rsid w:val="007458B9"/>
    <w:rsid w:val="0075698D"/>
    <w:rsid w:val="007B572F"/>
    <w:rsid w:val="007C423E"/>
    <w:rsid w:val="007D3813"/>
    <w:rsid w:val="007D5945"/>
    <w:rsid w:val="007F5557"/>
    <w:rsid w:val="00852646"/>
    <w:rsid w:val="008F38E3"/>
    <w:rsid w:val="0096129F"/>
    <w:rsid w:val="0096234C"/>
    <w:rsid w:val="00966251"/>
    <w:rsid w:val="009E354A"/>
    <w:rsid w:val="009F7750"/>
    <w:rsid w:val="00AA4B40"/>
    <w:rsid w:val="00AD1471"/>
    <w:rsid w:val="00B671ED"/>
    <w:rsid w:val="00BC0A3D"/>
    <w:rsid w:val="00BC5CC0"/>
    <w:rsid w:val="00BD3736"/>
    <w:rsid w:val="00BF14FC"/>
    <w:rsid w:val="00C00DF4"/>
    <w:rsid w:val="00C03658"/>
    <w:rsid w:val="00C0399D"/>
    <w:rsid w:val="00C84A3C"/>
    <w:rsid w:val="00C913E4"/>
    <w:rsid w:val="00CA5F43"/>
    <w:rsid w:val="00D100D9"/>
    <w:rsid w:val="00DA2B58"/>
    <w:rsid w:val="00DF032C"/>
    <w:rsid w:val="00E010B7"/>
    <w:rsid w:val="00E054BC"/>
    <w:rsid w:val="00E13E6B"/>
    <w:rsid w:val="00EA345F"/>
    <w:rsid w:val="00F266C4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927FF1"/>
  <w14:defaultImageDpi w14:val="300"/>
  <w15:docId w15:val="{30A6DBA4-78F7-480D-A7F4-1162C26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2F8"/>
    <w:rPr>
      <w:rFonts w:eastAsiaTheme="min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6D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196D"/>
  </w:style>
  <w:style w:type="paragraph" w:styleId="Footer">
    <w:name w:val="footer"/>
    <w:basedOn w:val="Normal"/>
    <w:link w:val="FooterChar"/>
    <w:uiPriority w:val="99"/>
    <w:unhideWhenUsed/>
    <w:rsid w:val="0057196D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196D"/>
  </w:style>
  <w:style w:type="paragraph" w:styleId="BalloonText">
    <w:name w:val="Balloon Text"/>
    <w:basedOn w:val="Normal"/>
    <w:link w:val="BalloonTextChar"/>
    <w:uiPriority w:val="99"/>
    <w:semiHidden/>
    <w:unhideWhenUsed/>
    <w:rsid w:val="0057196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A2A73"/>
  </w:style>
  <w:style w:type="character" w:styleId="Hyperlink">
    <w:name w:val="Hyperlink"/>
    <w:basedOn w:val="DefaultParagraphFont"/>
    <w:uiPriority w:val="99"/>
    <w:unhideWhenUsed/>
    <w:rsid w:val="0052005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2005A"/>
    <w:rPr>
      <w:rFonts w:eastAsiaTheme="minorEastAsia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005A"/>
  </w:style>
  <w:style w:type="character" w:styleId="FootnoteReference">
    <w:name w:val="footnote reference"/>
    <w:basedOn w:val="DefaultParagraphFont"/>
    <w:uiPriority w:val="99"/>
    <w:unhideWhenUsed/>
    <w:rsid w:val="005200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3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3E4"/>
    <w:rPr>
      <w:rFonts w:eastAsiaTheme="minorEastAsia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3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3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3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78A"/>
    <w:pPr>
      <w:ind w:left="720"/>
      <w:contextualSpacing/>
    </w:pPr>
    <w:rPr>
      <w:rFonts w:eastAsiaTheme="minorEastAsia" w:cstheme="minorBidi"/>
    </w:rPr>
  </w:style>
  <w:style w:type="table" w:styleId="TableGrid">
    <w:name w:val="Table Grid"/>
    <w:basedOn w:val="TableNormal"/>
    <w:uiPriority w:val="39"/>
    <w:rsid w:val="004432F8"/>
    <w:rPr>
      <w:rFonts w:eastAsia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2F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level-num">
    <w:name w:val="level-num"/>
    <w:basedOn w:val="DefaultParagraphFont"/>
    <w:rsid w:val="004432F8"/>
  </w:style>
  <w:style w:type="character" w:customStyle="1" w:styleId="apple-converted-space">
    <w:name w:val="apple-converted-space"/>
    <w:basedOn w:val="DefaultParagraphFont"/>
    <w:rsid w:val="004432F8"/>
  </w:style>
  <w:style w:type="character" w:styleId="FollowedHyperlink">
    <w:name w:val="FollowedHyperlink"/>
    <w:basedOn w:val="DefaultParagraphFont"/>
    <w:uiPriority w:val="99"/>
    <w:semiHidden/>
    <w:unhideWhenUsed/>
    <w:rsid w:val="00DA2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F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code.org/simple/sections/2-532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regs.dc.gov/Common/DCMR/SectionList.aspx?SectionNumber=1-40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D8CBD-9EA1-4337-9B2D-C361F96B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H. Cheatham</dc:creator>
  <cp:keywords/>
  <dc:description/>
  <cp:lastModifiedBy>Sarah H. Cheatham</cp:lastModifiedBy>
  <cp:revision>17</cp:revision>
  <dcterms:created xsi:type="dcterms:W3CDTF">2018-05-24T13:58:00Z</dcterms:created>
  <dcterms:modified xsi:type="dcterms:W3CDTF">2020-07-07T20:12:00Z</dcterms:modified>
  <cp:category/>
</cp:coreProperties>
</file>