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7" w:rsidRPr="008C23AB" w:rsidRDefault="008C23AB" w:rsidP="008C23AB">
      <w:pPr>
        <w:spacing w:line="240" w:lineRule="exact"/>
        <w:contextualSpacing/>
        <w:rPr>
          <w:rFonts w:ascii="Verdana" w:hAnsi="Verdana"/>
          <w:sz w:val="17"/>
          <w:szCs w:val="17"/>
        </w:rPr>
      </w:pPr>
      <w:r w:rsidRPr="008C23AB">
        <w:rPr>
          <w:rFonts w:ascii="Verdana" w:hAnsi="Verdana"/>
          <w:i/>
          <w:sz w:val="17"/>
          <w:szCs w:val="17"/>
        </w:rPr>
        <w:t>NOTE: This report excludes results from schools in their final year of operations.</w:t>
      </w:r>
      <w:r w:rsidRPr="008C23AB">
        <w:rPr>
          <w:rFonts w:ascii="Verdana" w:hAnsi="Verdana"/>
          <w:i/>
          <w:sz w:val="17"/>
          <w:szCs w:val="17"/>
        </w:rPr>
        <w:tab/>
      </w:r>
      <w:r w:rsidRPr="008C23AB">
        <w:rPr>
          <w:rFonts w:ascii="Verdana" w:hAnsi="Verdana"/>
          <w:i/>
          <w:sz w:val="17"/>
          <w:szCs w:val="17"/>
        </w:rPr>
        <w:tab/>
      </w:r>
      <w:r w:rsidRPr="008C23AB">
        <w:rPr>
          <w:rFonts w:ascii="Verdana" w:hAnsi="Verdana"/>
          <w:i/>
          <w:sz w:val="17"/>
          <w:szCs w:val="17"/>
        </w:rPr>
        <w:tab/>
      </w:r>
      <w:r w:rsidRPr="008C23AB">
        <w:rPr>
          <w:rFonts w:ascii="Verdana" w:hAnsi="Verdana"/>
          <w:i/>
          <w:sz w:val="17"/>
          <w:szCs w:val="17"/>
        </w:rPr>
        <w:tab/>
      </w:r>
    </w:p>
    <w:tbl>
      <w:tblPr>
        <w:tblStyle w:val="TableGrid2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492"/>
        <w:gridCol w:w="1435"/>
        <w:gridCol w:w="3197"/>
        <w:gridCol w:w="1421"/>
        <w:gridCol w:w="1313"/>
      </w:tblGrid>
      <w:tr w:rsidR="008C23AB" w:rsidRPr="008C23AB" w:rsidTr="008C23AB">
        <w:trPr>
          <w:trHeight w:hRule="exact" w:val="28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ind w:left="67"/>
              <w:contextualSpacing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</w:rPr>
              <w:t>FINANCIAL SNAPSHOT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  <w:t>FY2015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  <w:t>FY2014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contextualSpacing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</w:rPr>
              <w:t>FINANCIAL DASHBOARD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ind w:right="-108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  <w:t>FY2015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ind w:right="-108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  <w:t>FY</w:t>
            </w:r>
            <w:r w:rsidRPr="008C23AB">
              <w:rPr>
                <w:rFonts w:ascii="Verdana" w:hAnsi="Verdana" w:cstheme="minorHAnsi"/>
                <w:b/>
                <w:sz w:val="17"/>
                <w:szCs w:val="17"/>
                <w:u w:val="single"/>
              </w:rPr>
              <w:t>2014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E61" w:rsidRPr="008C23AB" w:rsidRDefault="00192E61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75"/>
              <w:contextualSpacing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sz w:val="17"/>
                <w:szCs w:val="17"/>
                <w:u w:val="single"/>
              </w:rPr>
              <w:t>PROFILE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192E61" w:rsidRPr="008C23AB" w:rsidRDefault="00192E61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</w:p>
        </w:tc>
        <w:tc>
          <w:tcPr>
            <w:tcW w:w="5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E61" w:rsidRPr="008C23AB" w:rsidRDefault="00192E61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right="-75"/>
              <w:contextualSpacing/>
              <w:rPr>
                <w:rFonts w:ascii="Verdana" w:hAnsi="Verdana" w:cstheme="minorHAnsi"/>
                <w:sz w:val="17"/>
                <w:szCs w:val="17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</w:rPr>
              <w:t>FINANCIAL PERFORMANCE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</w:p>
        </w:tc>
      </w:tr>
      <w:tr w:rsidR="00192E61" w:rsidRPr="008C23AB" w:rsidTr="008C23A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331"/>
              <w:contextualSpacing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DC Funding Allocation</w:t>
            </w:r>
          </w:p>
        </w:tc>
        <w:tc>
          <w:tcPr>
            <w:tcW w:w="572" w:type="pct"/>
            <w:vAlign w:val="center"/>
          </w:tcPr>
          <w:p w:rsidR="00C77587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633,952,396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right="14"/>
              <w:contextualSpacing/>
              <w:jc w:val="right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 w:cstheme="minorHAnsi"/>
                <w:sz w:val="17"/>
                <w:szCs w:val="17"/>
              </w:rPr>
              <w:t>572,944,568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Operating Surplus (Deficit)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4C09A2" w:rsidRPr="008C23AB">
              <w:rPr>
                <w:rFonts w:ascii="Verdana" w:hAnsi="Verdana"/>
                <w:color w:val="000000"/>
                <w:sz w:val="17"/>
                <w:szCs w:val="17"/>
              </w:rPr>
              <w:t>71,833,302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4C09A2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55,516,602</w:t>
            </w:r>
          </w:p>
        </w:tc>
      </w:tr>
      <w:tr w:rsidR="00192E61" w:rsidRPr="008C23AB" w:rsidTr="008C23A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</w:tcPr>
          <w:p w:rsidR="00761C0D" w:rsidRPr="008C23AB" w:rsidRDefault="00761C0D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331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Federal Awards</w:t>
            </w:r>
          </w:p>
        </w:tc>
        <w:tc>
          <w:tcPr>
            <w:tcW w:w="572" w:type="pct"/>
            <w:vAlign w:val="center"/>
          </w:tcPr>
          <w:p w:rsidR="00761C0D" w:rsidRPr="008C23AB" w:rsidRDefault="008C23AB" w:rsidP="008C23AB">
            <w:pPr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65,343,937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761C0D" w:rsidRPr="008C23AB" w:rsidRDefault="008C23AB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right="14"/>
              <w:contextualSpacing/>
              <w:jc w:val="right"/>
              <w:rPr>
                <w:rFonts w:ascii="Verdana" w:hAnsi="Verdana" w:cstheme="minorHAnsi"/>
                <w:sz w:val="17"/>
                <w:szCs w:val="17"/>
              </w:rPr>
            </w:pPr>
            <w:r>
              <w:rPr>
                <w:rFonts w:ascii="Verdana" w:hAnsi="Verdana" w:cstheme="minorHAnsi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 w:cstheme="minorHAnsi"/>
                <w:sz w:val="17"/>
                <w:szCs w:val="17"/>
              </w:rPr>
              <w:t>65,194,570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Enrollment Variance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61C0D" w:rsidRPr="008C23AB" w:rsidRDefault="003C0AE3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2.1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761C0D" w:rsidRPr="008C23AB" w:rsidRDefault="003C0AE3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bCs/>
                <w:color w:val="000000"/>
                <w:sz w:val="17"/>
                <w:szCs w:val="17"/>
              </w:rPr>
              <w:t>1.0%</w:t>
            </w:r>
          </w:p>
        </w:tc>
      </w:tr>
      <w:tr w:rsidR="00192E61" w:rsidRPr="008C23AB" w:rsidTr="008C23A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  <w:bottom w:val="single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331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Unrestricted Cash, end of year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C77587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249,975,007</w:t>
            </w:r>
          </w:p>
        </w:tc>
        <w:tc>
          <w:tcPr>
            <w:tcW w:w="5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right="14"/>
              <w:contextualSpacing/>
              <w:jc w:val="right"/>
              <w:rPr>
                <w:rFonts w:ascii="Verdana" w:hAnsi="Verdana" w:cstheme="minorHAnsi"/>
                <w:sz w:val="17"/>
                <w:szCs w:val="17"/>
              </w:rPr>
            </w:pPr>
            <w:r>
              <w:rPr>
                <w:rFonts w:ascii="Verdana" w:hAnsi="Verdana" w:cstheme="minorHAnsi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 w:cstheme="minorHAnsi"/>
                <w:sz w:val="17"/>
                <w:szCs w:val="17"/>
              </w:rPr>
              <w:t>205,894,121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Earnings before Depreciation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247A7" w:rsidRPr="008C23AB">
              <w:rPr>
                <w:rFonts w:ascii="Verdana" w:hAnsi="Verdana"/>
                <w:color w:val="000000"/>
                <w:sz w:val="17"/>
                <w:szCs w:val="17"/>
              </w:rPr>
              <w:t>106,</w:t>
            </w:r>
            <w:r w:rsidR="004C09A2" w:rsidRPr="008C23AB">
              <w:rPr>
                <w:rFonts w:ascii="Verdana" w:hAnsi="Verdana"/>
                <w:color w:val="000000"/>
                <w:sz w:val="17"/>
                <w:szCs w:val="17"/>
              </w:rPr>
              <w:t>562,896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C247A7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85,</w:t>
            </w:r>
            <w:r w:rsidR="00CC6938" w:rsidRPr="008C23AB">
              <w:rPr>
                <w:rFonts w:ascii="Verdana" w:hAnsi="Verdana"/>
                <w:color w:val="000000"/>
                <w:sz w:val="17"/>
                <w:szCs w:val="17"/>
              </w:rPr>
              <w:t>985,938</w:t>
            </w:r>
          </w:p>
        </w:tc>
      </w:tr>
      <w:tr w:rsidR="00192E61" w:rsidRPr="008C23AB" w:rsidTr="004E4A09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</w:tcBorders>
          </w:tcPr>
          <w:p w:rsidR="00761C0D" w:rsidRPr="008C23AB" w:rsidRDefault="00761C0D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sz w:val="17"/>
                <w:szCs w:val="17"/>
                <w:u w:val="single"/>
              </w:rPr>
              <w:t>GAAP FINANCIALS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761C0D" w:rsidRPr="008C23AB" w:rsidRDefault="00761C0D" w:rsidP="008C23AB">
            <w:pPr>
              <w:tabs>
                <w:tab w:val="right" w:pos="1163"/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right"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</w:p>
        </w:tc>
        <w:tc>
          <w:tcPr>
            <w:tcW w:w="5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0D" w:rsidRPr="008C23AB" w:rsidRDefault="00761C0D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14"/>
              <w:contextualSpacing/>
              <w:jc w:val="right"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after="0" w:line="240" w:lineRule="exact"/>
              <w:ind w:left="29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Aggregated 3-Year Total Margin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C0D" w:rsidRPr="008C23AB" w:rsidRDefault="006864B6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0D" w:rsidRPr="008C23AB" w:rsidRDefault="006864B6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6.9%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ind w:left="67" w:right="-75"/>
              <w:contextualSpacing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i/>
                <w:sz w:val="17"/>
                <w:szCs w:val="17"/>
              </w:rPr>
              <w:t>Financial Position</w:t>
            </w:r>
          </w:p>
        </w:tc>
        <w:tc>
          <w:tcPr>
            <w:tcW w:w="572" w:type="pct"/>
            <w:vAlign w:val="center"/>
          </w:tcPr>
          <w:p w:rsidR="00192E61" w:rsidRPr="008C23AB" w:rsidRDefault="00192E61" w:rsidP="008C23AB">
            <w:pPr>
              <w:tabs>
                <w:tab w:val="right" w:pos="1163"/>
              </w:tabs>
              <w:spacing w:before="120" w:after="120" w:line="240" w:lineRule="exact"/>
              <w:ind w:left="-99" w:right="-75"/>
              <w:contextualSpacing/>
              <w:jc w:val="right"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ind w:left="-141" w:right="14"/>
              <w:contextualSpacing/>
              <w:jc w:val="right"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ind w:left="29"/>
              <w:contextualSpacing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</w:rPr>
              <w:t>LIQUIDITY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ind w:left="29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E61" w:rsidRPr="008C23AB" w:rsidRDefault="00192E61" w:rsidP="008C23AB">
            <w:pPr>
              <w:spacing w:before="120" w:after="120" w:line="240" w:lineRule="exact"/>
              <w:ind w:left="29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</w:tcPr>
          <w:p w:rsidR="00761C0D" w:rsidRPr="008C23AB" w:rsidRDefault="00761C0D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b/>
                <w:i/>
                <w:sz w:val="17"/>
                <w:szCs w:val="17"/>
              </w:rPr>
            </w:pPr>
            <w:r w:rsidRPr="008C23AB">
              <w:rPr>
                <w:rFonts w:ascii="Verdana" w:hAnsi="Verdana"/>
                <w:sz w:val="17"/>
                <w:szCs w:val="17"/>
              </w:rPr>
              <w:t>Total Assets</w:t>
            </w:r>
          </w:p>
        </w:tc>
        <w:tc>
          <w:tcPr>
            <w:tcW w:w="572" w:type="pct"/>
            <w:vAlign w:val="center"/>
          </w:tcPr>
          <w:p w:rsidR="00761C0D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left="-99"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1,070,763,573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761C0D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991,222,736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Current Ratio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61C0D" w:rsidRPr="008C23AB" w:rsidRDefault="00C247A7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761C0D" w:rsidRPr="008C23AB" w:rsidRDefault="00C247A7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2.0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</w:tcPr>
          <w:p w:rsidR="00761C0D" w:rsidRPr="008C23AB" w:rsidRDefault="00761C0D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337" w:right="-15"/>
              <w:contextualSpacing/>
              <w:rPr>
                <w:rFonts w:ascii="Verdana" w:hAnsi="Verdana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Current Assets</w:t>
            </w:r>
          </w:p>
        </w:tc>
        <w:tc>
          <w:tcPr>
            <w:tcW w:w="572" w:type="pct"/>
            <w:vAlign w:val="center"/>
          </w:tcPr>
          <w:p w:rsidR="00761C0D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288,376,844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761C0D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262,765,161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 xml:space="preserve">Days of Cash on Hand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61C0D" w:rsidRPr="008C23AB" w:rsidRDefault="00C247A7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761C0D" w:rsidRPr="008C23AB" w:rsidRDefault="00C247A7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113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Total Liabilities</w:t>
            </w:r>
          </w:p>
        </w:tc>
        <w:tc>
          <w:tcPr>
            <w:tcW w:w="572" w:type="pct"/>
            <w:vAlign w:val="center"/>
          </w:tcPr>
          <w:p w:rsidR="00C77587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679,356,407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661,562,150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Cash Flow from Operations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C247A7" w:rsidRPr="008C23AB">
              <w:rPr>
                <w:rFonts w:ascii="Verdana" w:hAnsi="Verdana"/>
                <w:color w:val="000000"/>
                <w:sz w:val="17"/>
                <w:szCs w:val="17"/>
              </w:rPr>
              <w:t>11,773,068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C247A7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68,806,616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  <w:bottom w:val="dotted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33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Current Liabilities</w:t>
            </w:r>
          </w:p>
        </w:tc>
        <w:tc>
          <w:tcPr>
            <w:tcW w:w="572" w:type="pct"/>
            <w:tcBorders>
              <w:bottom w:val="dotted" w:sz="4" w:space="0" w:color="auto"/>
            </w:tcBorders>
            <w:vAlign w:val="center"/>
          </w:tcPr>
          <w:p w:rsidR="00C77587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106,509,100</w:t>
            </w:r>
          </w:p>
        </w:tc>
        <w:tc>
          <w:tcPr>
            <w:tcW w:w="553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37B3E" w:rsidRPr="008C23AB">
              <w:rPr>
                <w:rFonts w:ascii="Verdana" w:hAnsi="Verdana"/>
                <w:color w:val="000000"/>
                <w:sz w:val="17"/>
                <w:szCs w:val="17"/>
              </w:rPr>
              <w:t>131,321,909</w:t>
            </w: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Multi-Year Cumulative Cash Flow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6864B6" w:rsidRPr="008C23AB">
              <w:rPr>
                <w:rFonts w:ascii="Verdana" w:hAnsi="Verdana"/>
                <w:color w:val="000000"/>
                <w:sz w:val="17"/>
                <w:szCs w:val="17"/>
              </w:rPr>
              <w:t>53,518,738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6864B6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50,</w:t>
            </w:r>
            <w:r w:rsidR="00CC6938" w:rsidRPr="008C23AB">
              <w:rPr>
                <w:rFonts w:ascii="Verdana" w:hAnsi="Verdana"/>
                <w:color w:val="000000"/>
                <w:sz w:val="17"/>
                <w:szCs w:val="17"/>
              </w:rPr>
              <w:t>902</w:t>
            </w: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,5</w:t>
            </w:r>
            <w:r w:rsidR="00CC6938" w:rsidRPr="008C23AB">
              <w:rPr>
                <w:rFonts w:ascii="Verdana" w:hAnsi="Verdana"/>
                <w:color w:val="000000"/>
                <w:sz w:val="17"/>
                <w:szCs w:val="17"/>
              </w:rPr>
              <w:t>83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61C0D" w:rsidRPr="008C23AB" w:rsidRDefault="00761C0D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Net Asset Position</w:t>
            </w:r>
          </w:p>
        </w:tc>
        <w:tc>
          <w:tcPr>
            <w:tcW w:w="5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1C0D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left="-99"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247A7" w:rsidRPr="008C23AB">
              <w:rPr>
                <w:rFonts w:ascii="Verdana" w:hAnsi="Verdana"/>
                <w:color w:val="000000"/>
                <w:sz w:val="17"/>
                <w:szCs w:val="17"/>
              </w:rPr>
              <w:t>391,407,166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0D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4C09A2" w:rsidRPr="008C23AB">
              <w:rPr>
                <w:rFonts w:ascii="Verdana" w:hAnsi="Verdana"/>
                <w:color w:val="000000"/>
                <w:sz w:val="17"/>
                <w:szCs w:val="17"/>
              </w:rPr>
              <w:t>329</w:t>
            </w:r>
            <w:r w:rsidR="00C247A7" w:rsidRPr="008C23AB">
              <w:rPr>
                <w:rFonts w:ascii="Verdana" w:hAnsi="Verdana"/>
                <w:color w:val="000000"/>
                <w:sz w:val="17"/>
                <w:szCs w:val="17"/>
              </w:rPr>
              <w:t>,660,586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before="120" w:after="120" w:line="240" w:lineRule="exact"/>
              <w:contextualSpacing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</w:rPr>
              <w:t>DEBT BURDEN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before="120" w:after="120" w:line="240" w:lineRule="exact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before="120" w:after="120" w:line="240" w:lineRule="exact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i/>
                <w:sz w:val="17"/>
                <w:szCs w:val="17"/>
              </w:rPr>
              <w:t>Financial Activities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right" w:pos="1163"/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right"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</w:p>
        </w:tc>
        <w:tc>
          <w:tcPr>
            <w:tcW w:w="5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14"/>
              <w:contextualSpacing/>
              <w:jc w:val="right"/>
              <w:rPr>
                <w:rFonts w:ascii="Verdana" w:hAnsi="Verdana" w:cstheme="minorHAnsi"/>
                <w:b/>
                <w:sz w:val="17"/>
                <w:szCs w:val="17"/>
                <w:u w:val="single"/>
              </w:rPr>
            </w:pP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Debt Ratio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9B5D59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0.63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9B5D59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0.67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b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Support and Revenues</w:t>
            </w:r>
          </w:p>
        </w:tc>
        <w:tc>
          <w:tcPr>
            <w:tcW w:w="572" w:type="pct"/>
            <w:vAlign w:val="center"/>
          </w:tcPr>
          <w:p w:rsidR="00C77587" w:rsidRPr="008C23AB" w:rsidRDefault="008C23AB" w:rsidP="00F85283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4C09A2" w:rsidRPr="008C23AB">
              <w:rPr>
                <w:rFonts w:ascii="Verdana" w:hAnsi="Verdana"/>
                <w:color w:val="000000"/>
                <w:sz w:val="17"/>
                <w:szCs w:val="17"/>
              </w:rPr>
              <w:t>759,</w:t>
            </w:r>
            <w:r w:rsidR="00F85283">
              <w:rPr>
                <w:rFonts w:ascii="Verdana" w:hAnsi="Verdana"/>
                <w:color w:val="000000"/>
                <w:sz w:val="17"/>
                <w:szCs w:val="17"/>
              </w:rPr>
              <w:t>619,236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4C09A2" w:rsidRPr="008C23AB">
              <w:rPr>
                <w:rFonts w:ascii="Verdana" w:hAnsi="Verdana"/>
                <w:color w:val="000000"/>
                <w:sz w:val="17"/>
                <w:szCs w:val="17"/>
              </w:rPr>
              <w:t>698,474,250</w:t>
            </w: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Modified Debt Service Ratio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587" w:rsidRPr="008C23AB" w:rsidRDefault="008614BC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9.7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357AD8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15.0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</w:tr>
      <w:tr w:rsidR="00761C0D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</w:tcBorders>
          </w:tcPr>
          <w:p w:rsidR="00761C0D" w:rsidRPr="008C23AB" w:rsidRDefault="00761C0D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Expenses</w:t>
            </w:r>
          </w:p>
        </w:tc>
        <w:tc>
          <w:tcPr>
            <w:tcW w:w="572" w:type="pct"/>
            <w:vAlign w:val="center"/>
          </w:tcPr>
          <w:p w:rsidR="00761C0D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247A7" w:rsidRPr="008C23AB">
              <w:rPr>
                <w:rFonts w:ascii="Verdana" w:hAnsi="Verdana"/>
                <w:color w:val="000000"/>
                <w:sz w:val="17"/>
                <w:szCs w:val="17"/>
              </w:rPr>
              <w:t>688,785,292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761C0D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247A7" w:rsidRPr="008C23AB">
              <w:rPr>
                <w:rFonts w:ascii="Verdana" w:hAnsi="Verdana"/>
                <w:color w:val="000000"/>
                <w:sz w:val="17"/>
                <w:szCs w:val="17"/>
              </w:rPr>
              <w:t>656,408,266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before="120" w:after="120" w:line="240" w:lineRule="exact"/>
              <w:ind w:left="29"/>
              <w:contextualSpacing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</w:rPr>
              <w:t>SUSTAINABILITY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before="120" w:after="120" w:line="240" w:lineRule="exact"/>
              <w:ind w:left="29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0D" w:rsidRPr="008C23AB" w:rsidRDefault="00761C0D" w:rsidP="008C23AB">
            <w:pPr>
              <w:spacing w:before="120" w:after="120" w:line="240" w:lineRule="exact"/>
              <w:ind w:left="29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left w:val="single" w:sz="4" w:space="0" w:color="auto"/>
              <w:bottom w:val="dotted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Non-operating Revenue (Expense)</w:t>
            </w:r>
          </w:p>
        </w:tc>
        <w:tc>
          <w:tcPr>
            <w:tcW w:w="572" w:type="pct"/>
            <w:tcBorders>
              <w:bottom w:val="dotted" w:sz="4" w:space="0" w:color="auto"/>
            </w:tcBorders>
            <w:vAlign w:val="center"/>
          </w:tcPr>
          <w:p w:rsidR="00C77587" w:rsidRPr="008C23AB" w:rsidRDefault="008C23AB" w:rsidP="00F85283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F85283">
              <w:rPr>
                <w:rFonts w:ascii="Verdana" w:hAnsi="Verdana"/>
                <w:color w:val="000000"/>
                <w:sz w:val="17"/>
                <w:szCs w:val="17"/>
              </w:rPr>
              <w:t>999,358</w:t>
            </w:r>
          </w:p>
        </w:tc>
        <w:tc>
          <w:tcPr>
            <w:tcW w:w="553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13,450,618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ind w:left="29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Net Asset Position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8614BC" w:rsidRPr="008C23AB">
              <w:rPr>
                <w:rFonts w:ascii="Verdana" w:hAnsi="Verdana"/>
                <w:color w:val="000000"/>
                <w:sz w:val="17"/>
                <w:szCs w:val="17"/>
              </w:rPr>
              <w:t>391,407,166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8614BC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329,660,586</w:t>
            </w:r>
          </w:p>
        </w:tc>
      </w:tr>
      <w:tr w:rsidR="00192E61" w:rsidRPr="008C23AB" w:rsidTr="003B0C7B">
        <w:trPr>
          <w:trHeight w:val="20"/>
          <w:jc w:val="center"/>
        </w:trPr>
        <w:tc>
          <w:tcPr>
            <w:tcW w:w="15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Surplus (Deficit)</w:t>
            </w:r>
          </w:p>
        </w:tc>
        <w:tc>
          <w:tcPr>
            <w:tcW w:w="57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7587" w:rsidRPr="008C23AB" w:rsidRDefault="008C23AB" w:rsidP="008C23AB">
            <w:pPr>
              <w:tabs>
                <w:tab w:val="right" w:pos="1163"/>
              </w:tabs>
              <w:spacing w:after="0" w:line="240" w:lineRule="exact"/>
              <w:ind w:right="-75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4C09A2" w:rsidRPr="008C23AB">
              <w:rPr>
                <w:rFonts w:ascii="Verdana" w:hAnsi="Verdana"/>
                <w:color w:val="000000"/>
                <w:sz w:val="17"/>
                <w:szCs w:val="17"/>
              </w:rPr>
              <w:t>71,833,302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ind w:right="14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247A7" w:rsidRPr="008C23AB">
              <w:rPr>
                <w:rFonts w:ascii="Verdana" w:hAnsi="Verdana"/>
                <w:color w:val="000000"/>
                <w:sz w:val="17"/>
                <w:szCs w:val="17"/>
              </w:rPr>
              <w:t>55,</w:t>
            </w:r>
            <w:r w:rsidR="004C09A2" w:rsidRPr="008C23AB">
              <w:rPr>
                <w:rFonts w:ascii="Verdana" w:hAnsi="Verdana"/>
                <w:color w:val="000000"/>
                <w:sz w:val="17"/>
                <w:szCs w:val="17"/>
              </w:rPr>
              <w:t>516,602</w:t>
            </w: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ind w:left="29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Primary Reserve Ratio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0.</w:t>
            </w:r>
            <w:r w:rsidR="008614BC" w:rsidRPr="008C23AB">
              <w:rPr>
                <w:rFonts w:ascii="Verdana" w:hAnsi="Verdana"/>
                <w:color w:val="000000"/>
                <w:sz w:val="17"/>
                <w:szCs w:val="17"/>
              </w:rPr>
              <w:t>55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0.</w:t>
            </w:r>
            <w:r w:rsidR="008614BC" w:rsidRPr="008C23AB">
              <w:rPr>
                <w:rFonts w:ascii="Verdana" w:hAnsi="Verdana"/>
                <w:color w:val="000000"/>
                <w:sz w:val="17"/>
                <w:szCs w:val="17"/>
              </w:rPr>
              <w:t>49</w:t>
            </w:r>
          </w:p>
        </w:tc>
      </w:tr>
      <w:tr w:rsidR="00761C0D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67" w:right="-15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/>
                <w:sz w:val="17"/>
                <w:szCs w:val="17"/>
              </w:rPr>
              <w:t>SUMMARY OF AUDIT RESULTS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  <w:t>FY2015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056CF" w:rsidRPr="008C23AB" w:rsidRDefault="00A056CF" w:rsidP="008C23AB">
            <w:pPr>
              <w:spacing w:after="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  <w:t>FY2014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6CF" w:rsidRPr="008C23AB" w:rsidRDefault="00A056CF" w:rsidP="008C23AB">
            <w:pPr>
              <w:spacing w:before="120" w:after="0" w:line="240" w:lineRule="exact"/>
              <w:ind w:left="29"/>
              <w:contextualSpacing/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</w:pPr>
            <w:r w:rsidRPr="008C23AB">
              <w:rPr>
                <w:rFonts w:ascii="Verdana" w:hAnsi="Verdana" w:cstheme="minorHAnsi"/>
                <w:b/>
                <w:bCs/>
                <w:sz w:val="17"/>
                <w:szCs w:val="17"/>
                <w:u w:val="single"/>
              </w:rPr>
              <w:t>TRENDING MEASURES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56CF" w:rsidRPr="008C23AB" w:rsidRDefault="00A056CF" w:rsidP="008C23AB">
            <w:pPr>
              <w:spacing w:before="120" w:after="120" w:line="240" w:lineRule="exact"/>
              <w:ind w:left="29"/>
              <w:contextualSpacing/>
              <w:jc w:val="center"/>
              <w:rPr>
                <w:rFonts w:ascii="Verdana" w:hAnsi="Verdana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6CF" w:rsidRPr="008C23AB" w:rsidRDefault="00A056CF" w:rsidP="008C23AB">
            <w:pPr>
              <w:spacing w:before="120" w:after="120" w:line="240" w:lineRule="exact"/>
              <w:ind w:left="-115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</w:p>
        </w:tc>
      </w:tr>
      <w:tr w:rsidR="00C77587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before="120" w:after="120" w:line="240" w:lineRule="exact"/>
              <w:ind w:left="67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Opinion on the Financial Statements (GAAP)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Qualified, Adverse, or Disclaimed Opinion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4C5446" w:rsidP="008C23AB">
            <w:pPr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2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Audited Enrollment</w:t>
            </w:r>
          </w:p>
        </w:tc>
        <w:tc>
          <w:tcPr>
            <w:tcW w:w="519" w:type="pct"/>
            <w:vAlign w:val="center"/>
          </w:tcPr>
          <w:p w:rsidR="00C77587" w:rsidRPr="008C23AB" w:rsidRDefault="005B178F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  <w:highlight w:val="yellow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35,517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87" w:rsidRPr="008C23AB" w:rsidRDefault="005B178F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34,775</w:t>
            </w:r>
          </w:p>
        </w:tc>
        <w:bookmarkStart w:id="0" w:name="_GoBack"/>
        <w:bookmarkEnd w:id="0"/>
      </w:tr>
      <w:tr w:rsidR="00192E61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Material Weaknesses in Internal Control over Financial Reporting (GAS)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Yes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87" w:rsidRPr="008C23AB" w:rsidRDefault="00526814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4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Total Revenues per Student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F85283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21,3</w:t>
            </w:r>
            <w:r w:rsidR="009C5B5C" w:rsidRPr="008C23AB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  <w:r w:rsidR="00F85283">
              <w:rPr>
                <w:rFonts w:ascii="Verdana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20,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08</w:t>
            </w:r>
            <w:r w:rsidR="009C5B5C" w:rsidRPr="008C23AB"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</w:tr>
      <w:tr w:rsidR="00192E61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Noncompliance Material to the Financial Statements (GAS)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Yes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87" w:rsidRPr="008C23AB" w:rsidRDefault="00526814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3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DC Funding Per Student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17,849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16,476</w:t>
            </w:r>
          </w:p>
        </w:tc>
      </w:tr>
      <w:tr w:rsidR="00C77587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Opinion on Major Federal Award Programs (A133)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Qualified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87" w:rsidRPr="008C23AB" w:rsidRDefault="00526814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4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Expenses per Student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19,393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18,876</w:t>
            </w:r>
          </w:p>
        </w:tc>
      </w:tr>
      <w:tr w:rsidR="00192E61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Material Weaknesses in Internal Control over Compliance with Major Federal Programs (A133)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Yes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526814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2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Program Expenses per Student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8C23AB" w:rsidP="008C23AB">
            <w:pPr>
              <w:spacing w:after="0" w:line="240" w:lineRule="exact"/>
              <w:contextualSpacing/>
              <w:jc w:val="right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16,457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8C23AB" w:rsidP="008C23AB">
            <w:pPr>
              <w:spacing w:line="240" w:lineRule="exact"/>
              <w:contextualSpacing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$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16,181</w:t>
            </w:r>
          </w:p>
        </w:tc>
      </w:tr>
      <w:tr w:rsidR="00C77587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Findings and Questioned Costs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Audit Finding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6864B6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526814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19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G&amp;A Expense Ratio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 w:rsidR="009B5D59" w:rsidRPr="008C23AB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  <w:r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</w:tr>
      <w:tr w:rsidR="00192E61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Unresolved Prior Year Audit Findings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Audit Finding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192E61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192E61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2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Personnel Expense Ratio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F85283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56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F85283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59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</w:tr>
      <w:tr w:rsidR="00C77587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C77587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Going-Concern Issue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Yes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87" w:rsidRPr="008C23AB" w:rsidRDefault="00192E61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7" w:rsidRPr="008C23AB" w:rsidRDefault="00526814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3</w:t>
            </w:r>
          </w:p>
        </w:tc>
        <w:tc>
          <w:tcPr>
            <w:tcW w:w="1246" w:type="pct"/>
            <w:tcBorders>
              <w:left w:val="single" w:sz="4" w:space="0" w:color="auto"/>
            </w:tcBorders>
            <w:vAlign w:val="center"/>
          </w:tcPr>
          <w:p w:rsidR="00C77587" w:rsidRPr="008C23AB" w:rsidRDefault="00C77587" w:rsidP="008C23AB">
            <w:pPr>
              <w:spacing w:after="0" w:line="240" w:lineRule="exact"/>
              <w:contextualSpacing/>
              <w:rPr>
                <w:rFonts w:ascii="Verdana" w:hAnsi="Verdana" w:cstheme="minorHAnsi"/>
                <w:bCs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bCs/>
                <w:sz w:val="17"/>
                <w:szCs w:val="17"/>
              </w:rPr>
              <w:t>Occupancy Expense Ratio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587" w:rsidRPr="008C23AB" w:rsidRDefault="00F85283" w:rsidP="008C23AB">
            <w:pPr>
              <w:spacing w:after="0" w:line="240" w:lineRule="exact"/>
              <w:contextualSpacing/>
              <w:jc w:val="center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:rsidR="00C77587" w:rsidRPr="008C23AB" w:rsidRDefault="00F85283" w:rsidP="008C23AB">
            <w:pPr>
              <w:spacing w:line="240" w:lineRule="exact"/>
              <w:contextualSpacing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</w:t>
            </w:r>
            <w:r w:rsidR="00C77587" w:rsidRPr="008C23AB">
              <w:rPr>
                <w:rFonts w:ascii="Verdana" w:hAnsi="Verdana"/>
                <w:color w:val="000000"/>
                <w:sz w:val="17"/>
                <w:szCs w:val="17"/>
              </w:rPr>
              <w:t>%</w:t>
            </w:r>
          </w:p>
        </w:tc>
      </w:tr>
      <w:tr w:rsidR="00761C0D" w:rsidRPr="008C23AB" w:rsidTr="008C23AB">
        <w:trPr>
          <w:trHeight w:val="20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BBC" w:rsidRPr="008C23AB" w:rsidRDefault="00A40BBC" w:rsidP="008C23AB">
            <w:pPr>
              <w:tabs>
                <w:tab w:val="left" w:pos="3388"/>
              </w:tabs>
              <w:spacing w:after="0" w:line="240" w:lineRule="exact"/>
              <w:ind w:left="67"/>
              <w:contextualSpacing/>
              <w:rPr>
                <w:rFonts w:ascii="Verdana" w:hAnsi="Verdana" w:cstheme="minorHAnsi"/>
                <w:i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 xml:space="preserve">Debt-Compliance Issue – </w:t>
            </w:r>
            <w:r w:rsidRPr="008C23AB">
              <w:rPr>
                <w:rFonts w:ascii="Verdana" w:hAnsi="Verdana" w:cstheme="minorHAnsi"/>
                <w:i/>
                <w:sz w:val="17"/>
                <w:szCs w:val="17"/>
              </w:rPr>
              <w:t>Yes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BBC" w:rsidRPr="008C23AB" w:rsidRDefault="00192E61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99" w:right="-75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BC" w:rsidRPr="008C23AB" w:rsidRDefault="00526814" w:rsidP="008C23AB">
            <w:pPr>
              <w:tabs>
                <w:tab w:val="left" w:pos="3464"/>
                <w:tab w:val="left" w:pos="4928"/>
              </w:tabs>
              <w:spacing w:before="120" w:after="120" w:line="240" w:lineRule="exact"/>
              <w:ind w:left="-141" w:right="-82"/>
              <w:contextualSpacing/>
              <w:jc w:val="center"/>
              <w:rPr>
                <w:rFonts w:ascii="Verdana" w:hAnsi="Verdana" w:cstheme="minorHAnsi"/>
                <w:sz w:val="17"/>
                <w:szCs w:val="17"/>
              </w:rPr>
            </w:pPr>
            <w:r w:rsidRPr="008C23AB">
              <w:rPr>
                <w:rFonts w:ascii="Verdana" w:hAnsi="Verdana" w:cstheme="minorHAnsi"/>
                <w:sz w:val="17"/>
                <w:szCs w:val="17"/>
              </w:rPr>
              <w:t>5</w:t>
            </w: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0BBC" w:rsidRPr="008C23AB" w:rsidRDefault="00A40BBC" w:rsidP="008C23AB">
            <w:pPr>
              <w:spacing w:after="0" w:line="240" w:lineRule="exact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BBC" w:rsidRPr="008C23AB" w:rsidRDefault="00A40BBC" w:rsidP="008C23AB">
            <w:pPr>
              <w:spacing w:before="120" w:after="120" w:line="240" w:lineRule="exact"/>
              <w:ind w:left="29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BBC" w:rsidRPr="008C23AB" w:rsidRDefault="00A40BBC" w:rsidP="008C23AB">
            <w:pPr>
              <w:spacing w:before="120" w:after="120" w:line="240" w:lineRule="exact"/>
              <w:ind w:left="-115"/>
              <w:contextualSpacing/>
              <w:jc w:val="center"/>
              <w:rPr>
                <w:rFonts w:ascii="Verdana" w:hAnsi="Verdana" w:cstheme="minorHAnsi"/>
                <w:bCs/>
                <w:sz w:val="17"/>
                <w:szCs w:val="17"/>
              </w:rPr>
            </w:pPr>
          </w:p>
        </w:tc>
      </w:tr>
    </w:tbl>
    <w:p w:rsidR="00C247A7" w:rsidRPr="008C23AB" w:rsidRDefault="00C247A7" w:rsidP="008C23AB">
      <w:pPr>
        <w:spacing w:after="0" w:line="240" w:lineRule="exact"/>
        <w:contextualSpacing/>
        <w:rPr>
          <w:rFonts w:ascii="Verdana" w:hAnsi="Verdana" w:cstheme="minorHAnsi"/>
          <w:b/>
          <w:bCs/>
          <w:sz w:val="17"/>
          <w:szCs w:val="17"/>
        </w:rPr>
      </w:pPr>
    </w:p>
    <w:sectPr w:rsidR="00C247A7" w:rsidRPr="008C23AB" w:rsidSect="002D378F">
      <w:headerReference w:type="default" r:id="rId7"/>
      <w:footerReference w:type="default" r:id="rId8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6D" w:rsidRDefault="009F286D" w:rsidP="00830266">
      <w:pPr>
        <w:spacing w:after="0" w:line="240" w:lineRule="auto"/>
      </w:pPr>
      <w:r>
        <w:separator/>
      </w:r>
    </w:p>
  </w:endnote>
  <w:endnote w:type="continuationSeparator" w:id="0">
    <w:p w:rsidR="009F286D" w:rsidRDefault="009F286D" w:rsidP="0083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8F" w:rsidRPr="008C23AB" w:rsidRDefault="008C23AB" w:rsidP="008C23AB">
    <w:pPr>
      <w:pStyle w:val="Footer"/>
      <w:rPr>
        <w:rFonts w:ascii="Verdana" w:hAnsi="Verdana"/>
        <w:sz w:val="20"/>
      </w:rPr>
    </w:pPr>
    <w:r>
      <w:rPr>
        <w:rFonts w:ascii="Verdana" w:hAnsi="Verdana"/>
        <w:sz w:val="20"/>
      </w:rPr>
      <w:t>DC PCSB</w:t>
    </w:r>
    <w:r w:rsidRPr="004C0530">
      <w:rPr>
        <w:rFonts w:ascii="Verdana" w:hAnsi="Verdana"/>
        <w:sz w:val="20"/>
      </w:rPr>
      <w:t xml:space="preserve"> Financial Audit Review Report</w:t>
    </w:r>
    <w:r w:rsidRPr="004C0530">
      <w:rPr>
        <w:rFonts w:ascii="Verdana" w:hAnsi="Verdana"/>
        <w:sz w:val="20"/>
      </w:rPr>
      <w:ptab w:relativeTo="margin" w:alignment="center" w:leader="none"/>
    </w:r>
    <w:r w:rsidRPr="004C0530">
      <w:rPr>
        <w:rFonts w:ascii="Verdana" w:hAnsi="Verdana"/>
        <w:sz w:val="20"/>
      </w:rPr>
      <w:ptab w:relativeTo="margin" w:alignment="right" w:leader="none"/>
    </w:r>
    <w:r w:rsidRPr="004C0530">
      <w:rPr>
        <w:rFonts w:ascii="Verdana" w:hAnsi="Verdana"/>
        <w:sz w:val="20"/>
      </w:rPr>
      <w:fldChar w:fldCharType="begin"/>
    </w:r>
    <w:r w:rsidRPr="004C0530">
      <w:rPr>
        <w:rFonts w:ascii="Verdana" w:hAnsi="Verdana"/>
        <w:sz w:val="20"/>
      </w:rPr>
      <w:instrText xml:space="preserve"> PAGE   \* MERGEFORMAT </w:instrText>
    </w:r>
    <w:r w:rsidRPr="004C0530">
      <w:rPr>
        <w:rFonts w:ascii="Verdana" w:hAnsi="Verdana"/>
        <w:sz w:val="20"/>
      </w:rPr>
      <w:fldChar w:fldCharType="separate"/>
    </w:r>
    <w:r w:rsidR="00CA1B69">
      <w:rPr>
        <w:rFonts w:ascii="Verdana" w:hAnsi="Verdana"/>
        <w:noProof/>
        <w:sz w:val="20"/>
      </w:rPr>
      <w:t>1</w:t>
    </w:r>
    <w:r w:rsidRPr="004C0530">
      <w:rPr>
        <w:rFonts w:ascii="Verdana" w:hAnsi="Verdan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6D" w:rsidRDefault="009F286D" w:rsidP="00830266">
      <w:pPr>
        <w:spacing w:after="0" w:line="240" w:lineRule="auto"/>
      </w:pPr>
      <w:r>
        <w:separator/>
      </w:r>
    </w:p>
  </w:footnote>
  <w:footnote w:type="continuationSeparator" w:id="0">
    <w:p w:rsidR="009F286D" w:rsidRDefault="009F286D" w:rsidP="0083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0F" w:rsidRDefault="008C23AB" w:rsidP="008C23AB">
    <w:pPr>
      <w:contextualSpacing/>
      <w:jc w:val="center"/>
      <w:rPr>
        <w:rFonts w:ascii="Verdana" w:hAnsi="Verdana" w:cstheme="minorHAnsi"/>
        <w:b/>
        <w:smallCaps/>
        <w:sz w:val="26"/>
        <w:szCs w:val="26"/>
      </w:rPr>
    </w:pPr>
    <w:r w:rsidRPr="008C23AB">
      <w:rPr>
        <w:rFonts w:ascii="Verdana" w:hAnsi="Verdana" w:cstheme="minorHAnsi"/>
        <w:b/>
        <w:smallCaps/>
        <w:sz w:val="26"/>
        <w:szCs w:val="26"/>
      </w:rPr>
      <w:t>Aggr</w:t>
    </w:r>
    <w:r w:rsidR="00BD7A0F">
      <w:rPr>
        <w:rFonts w:ascii="Verdana" w:hAnsi="Verdana" w:cstheme="minorHAnsi"/>
        <w:b/>
        <w:smallCaps/>
        <w:sz w:val="26"/>
        <w:szCs w:val="26"/>
      </w:rPr>
      <w:t>egated</w:t>
    </w:r>
  </w:p>
  <w:p w:rsidR="008C23AB" w:rsidRPr="008C23AB" w:rsidRDefault="008C23AB" w:rsidP="008C23AB">
    <w:pPr>
      <w:contextualSpacing/>
      <w:jc w:val="center"/>
      <w:rPr>
        <w:rFonts w:ascii="Verdana" w:hAnsi="Verdana" w:cstheme="minorHAnsi"/>
        <w:b/>
        <w:bCs/>
      </w:rPr>
    </w:pPr>
    <w:r w:rsidRPr="008C23AB">
      <w:rPr>
        <w:rFonts w:ascii="Verdana" w:hAnsi="Verdana" w:cstheme="minorHAnsi"/>
        <w:b/>
        <w:bCs/>
      </w:rPr>
      <w:t>FY2015 Financial Report Card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66"/>
    <w:rsid w:val="00012B06"/>
    <w:rsid w:val="000A15FF"/>
    <w:rsid w:val="00192E61"/>
    <w:rsid w:val="001A3358"/>
    <w:rsid w:val="001A39F0"/>
    <w:rsid w:val="001A4CF8"/>
    <w:rsid w:val="001C02D5"/>
    <w:rsid w:val="002241A0"/>
    <w:rsid w:val="002D378F"/>
    <w:rsid w:val="002E05DF"/>
    <w:rsid w:val="00357AD8"/>
    <w:rsid w:val="003B0C7B"/>
    <w:rsid w:val="003C0AE3"/>
    <w:rsid w:val="003C5D8D"/>
    <w:rsid w:val="004B0957"/>
    <w:rsid w:val="004B1544"/>
    <w:rsid w:val="004C09A2"/>
    <w:rsid w:val="004C5446"/>
    <w:rsid w:val="004D4271"/>
    <w:rsid w:val="004E4A09"/>
    <w:rsid w:val="00506945"/>
    <w:rsid w:val="00526814"/>
    <w:rsid w:val="005417A0"/>
    <w:rsid w:val="005B178F"/>
    <w:rsid w:val="00637B3E"/>
    <w:rsid w:val="0064123E"/>
    <w:rsid w:val="006864B6"/>
    <w:rsid w:val="00761C0D"/>
    <w:rsid w:val="007D5D82"/>
    <w:rsid w:val="007F173C"/>
    <w:rsid w:val="00830266"/>
    <w:rsid w:val="008614BC"/>
    <w:rsid w:val="008C23AB"/>
    <w:rsid w:val="00983367"/>
    <w:rsid w:val="00997AB6"/>
    <w:rsid w:val="009B5D59"/>
    <w:rsid w:val="009C5B5C"/>
    <w:rsid w:val="009F286D"/>
    <w:rsid w:val="00A056CF"/>
    <w:rsid w:val="00A40BBC"/>
    <w:rsid w:val="00A649D8"/>
    <w:rsid w:val="00AA4951"/>
    <w:rsid w:val="00AE1034"/>
    <w:rsid w:val="00B84B86"/>
    <w:rsid w:val="00BC5626"/>
    <w:rsid w:val="00BD7A0F"/>
    <w:rsid w:val="00BF507F"/>
    <w:rsid w:val="00C247A7"/>
    <w:rsid w:val="00C77587"/>
    <w:rsid w:val="00CA1B69"/>
    <w:rsid w:val="00CC6938"/>
    <w:rsid w:val="00D80BB0"/>
    <w:rsid w:val="00E35F0B"/>
    <w:rsid w:val="00E45EEA"/>
    <w:rsid w:val="00F85283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6C605-FECB-42F4-B88C-85F15B8E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66"/>
    <w:pPr>
      <w:spacing w:after="200" w:line="276" w:lineRule="auto"/>
    </w:pPr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39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A39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3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66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3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66"/>
    <w:rPr>
      <w:rFonts w:asciiTheme="minorHAnsi" w:hAnsiTheme="minorHAnsi" w:cstheme="minorBidi"/>
    </w:rPr>
  </w:style>
  <w:style w:type="table" w:styleId="ListTable3-Accent5">
    <w:name w:val="List Table 3 Accent 5"/>
    <w:basedOn w:val="TableNormal"/>
    <w:uiPriority w:val="48"/>
    <w:rsid w:val="00BF507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F507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507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D9AA-8F51-4D25-B542-7397D49F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Lytton</dc:creator>
  <cp:keywords/>
  <dc:description/>
  <cp:lastModifiedBy>Mikayla Lytton</cp:lastModifiedBy>
  <cp:revision>2</cp:revision>
  <cp:lastPrinted>2016-05-06T22:08:00Z</cp:lastPrinted>
  <dcterms:created xsi:type="dcterms:W3CDTF">2016-05-13T13:24:00Z</dcterms:created>
  <dcterms:modified xsi:type="dcterms:W3CDTF">2016-05-13T13:24:00Z</dcterms:modified>
</cp:coreProperties>
</file>